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85" w:rsidRDefault="00616585" w:rsidP="0061658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СЕЛЬСКАЯ ДУМА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СЕЛЬСКОГО ПОСЕЛЕНИЯ «ДЕРЕВНЯ МИХАЛЬЧУКОВО»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МЕДЫНСКОГО РАЙОНА КАЛУЖСКОЙ ОБЛАСТИ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 РЕШЕНИЕ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 от 01 декабря 2020 г.            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                           № 22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Об установлении размера стоимости движимого имущества, подлежащего учету в реестре муниципального имущества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proofErr w:type="gramStart"/>
      <w:r>
        <w:rPr>
          <w:color w:val="212121"/>
          <w:sz w:val="17"/>
          <w:szCs w:val="17"/>
        </w:rPr>
        <w:t>В соответствии с ч. 5 ст. 51 Федерального закона от 06.10.2003 № 131-ФЗ «Об общих принципах организации местного самоуправления в РФ», п. 7 ч. 3 ст. 12.1 Федерального закона от 25.12.2008 № 273-ФЗ «О противодействии коррупции», п. 2 Порядка ведения органами местного самоуправления реестров муниципального имущества, утвержденного приказом Министерства экономического развития РФ от 30.08.2011 № 424, руководствуясь Уставом муниципального образования сельского поселения «Деревня</w:t>
      </w:r>
      <w:proofErr w:type="gramEnd"/>
      <w:r>
        <w:rPr>
          <w:color w:val="212121"/>
          <w:sz w:val="17"/>
          <w:szCs w:val="17"/>
        </w:rPr>
        <w:t xml:space="preserve">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»,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Сельская Дума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РЕШИЛА: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       Установить, что включению в реестр муниципального имущества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подлежит находящееся в собственности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движимое имущество, стоимость которого превышает 50000 рублей.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2.       Установить, что находящиеся в собственности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акции, доли (вклады) в уставном (складочном) капитале хозяйственного общества или товарищества подлежат включению в реестр муниципального имущества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независимо от их стоимости.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3.       </w:t>
      </w:r>
      <w:proofErr w:type="gramStart"/>
      <w:r>
        <w:rPr>
          <w:color w:val="212121"/>
          <w:sz w:val="17"/>
          <w:szCs w:val="17"/>
        </w:rPr>
        <w:t xml:space="preserve">Установить, что включению в реестр муниципального имущества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4.       Настоящее решение вступает в силу со дня его официального обнародования.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5.       </w:t>
      </w:r>
      <w:proofErr w:type="gramStart"/>
      <w:r>
        <w:rPr>
          <w:color w:val="212121"/>
          <w:sz w:val="17"/>
          <w:szCs w:val="17"/>
        </w:rPr>
        <w:t>Контроль за</w:t>
      </w:r>
      <w:proofErr w:type="gramEnd"/>
      <w:r>
        <w:rPr>
          <w:color w:val="212121"/>
          <w:sz w:val="17"/>
          <w:szCs w:val="17"/>
        </w:rPr>
        <w:t xml:space="preserve"> исполнением настоящего решения возложить на Главу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».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сельского поселения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                                                                             Д.В.Жуков       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 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                                                                                               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«Утверждаю»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 Глава сельского поселения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                                                                                                            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Д.В.Жуков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 «_01_»</w:t>
      </w:r>
      <w:proofErr w:type="spellStart"/>
      <w:r>
        <w:rPr>
          <w:color w:val="212121"/>
          <w:sz w:val="17"/>
          <w:szCs w:val="17"/>
        </w:rPr>
        <w:t>_декабря</w:t>
      </w:r>
      <w:proofErr w:type="spellEnd"/>
      <w:r>
        <w:rPr>
          <w:color w:val="212121"/>
          <w:sz w:val="17"/>
          <w:szCs w:val="17"/>
        </w:rPr>
        <w:t>_ 2020 г.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Акт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 Об обнародовании решения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 «Об установлении размера стоимости движимого имущества, подлежащего учету в реестре муниципального имущества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».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 Комиссия в составе: </w:t>
      </w:r>
      <w:proofErr w:type="gramStart"/>
      <w:r>
        <w:rPr>
          <w:color w:val="212121"/>
          <w:sz w:val="17"/>
          <w:szCs w:val="17"/>
        </w:rPr>
        <w:t xml:space="preserve">Главы администрации СП «Деревня  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Попковой Татьяны Васильевны, специалиста администрации Иващук Светланы Николаевны, библиотекаря Симкиной Валентины Александровны составила настоящий акт в том, что 01 декабря 2020 года в местах обнародования муниципальных правовых актов согласно перечня, утверждённого решением Сельской Думы СП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№ 15 от 16 октября 2005 года, было вывешено   решение    Сельской Думы СП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«О публичных слушаниях по</w:t>
      </w:r>
      <w:proofErr w:type="gramEnd"/>
      <w:r>
        <w:rPr>
          <w:color w:val="212121"/>
          <w:sz w:val="17"/>
          <w:szCs w:val="17"/>
        </w:rPr>
        <w:t xml:space="preserve"> проекту Решения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«Об установлении размера стоимости движимого имущества, подлежащего учету в реестре муниципального имущества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с целью ознакомления населения.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    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01 декабря 2020 года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 Т.В.Попкова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                                                     С.Н.Иващук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16585" w:rsidRDefault="00616585" w:rsidP="0061658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 В.А.Симкина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616585"/>
    <w:rsid w:val="00616585"/>
    <w:rsid w:val="009C461A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2023-05-24T08:19:00Z</dcterms:created>
  <dcterms:modified xsi:type="dcterms:W3CDTF">2023-05-24T08:19:00Z</dcterms:modified>
</cp:coreProperties>
</file>