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ind w:left="2832"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ind w:left="2832"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СЕЛЬСКАЯ  ДУМА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СЕЛЬСКОГО  ПОСЕЛЕНИЯ  «ДЕРЕВНЯ  МИХАЛЬЧУКОВО»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МЕДЫНСКОГО  РАЙОНА  КАЛУЖСКОЙ  ОБЛАСТИ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ind w:left="3540" w:firstLine="708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РЕШЕНИЕ</w:t>
      </w:r>
    </w:p>
    <w:p>
      <w:pPr>
        <w:pStyle w:val="Normal"/>
        <w:widowControl w:val="false"/>
        <w:autoSpaceDE w:val="false"/>
        <w:ind w:left="3540"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от 14 ноября  2016 г. </w:t>
        <w:tab/>
        <w:t xml:space="preserve">         д.Михальчуково                                  </w:t>
        <w:tab/>
        <w:t>№47</w:t>
      </w:r>
    </w:p>
    <w:p>
      <w:pPr>
        <w:pStyle w:val="Normal"/>
        <w:widowControl w:val="false"/>
        <w:autoSpaceDE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widowControl w:val="false"/>
        <w:autoSpaceDE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УТВЕРЖДЕНИИ ПОЛОЖЕНИЯ «О ПОРЯДКЕ ПРЕДОСТАВЛЕНИЯ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ПРОКУРАТУРУ МЕДЫНСКОГО РАЙОНА КАЛУЖСКОЙ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ПРИНЯТЫХ НОРМАТИВНЫХ ПРАВОВЫХ АКТОВ, А ТАКЖЕ ИХ ПРОЕКТОВ 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ПРОВЕДЕНИЯ ПРАВОВОЙ И АНТИКОРРУПЦИОННОЙ ЭКСПЕРТИЗЫ»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</w:t>
      </w:r>
      <w:hyperlink r:id="rId2">
        <w:r>
          <w:rPr>
            <w:rStyle w:val="InternetLink"/>
            <w:rFonts w:cs="Times New Roman" w:ascii="Times New Roman" w:hAnsi="Times New Roman"/>
            <w:sz w:val="26"/>
            <w:szCs w:val="26"/>
          </w:rPr>
          <w:t>ст. 14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3">
        <w:r>
          <w:rPr>
            <w:rStyle w:val="InternetLink"/>
            <w:rFonts w:cs="Times New Roman" w:ascii="Times New Roman" w:hAnsi="Times New Roman"/>
            <w:sz w:val="26"/>
            <w:szCs w:val="26"/>
          </w:rPr>
          <w:t>ст. 6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25.12.2008 № 273-ФЗ «О противодействии коррупции», </w:t>
      </w:r>
      <w:hyperlink r:id="rId4">
        <w:r>
          <w:rPr>
            <w:rStyle w:val="InternetLink"/>
            <w:rFonts w:cs="Times New Roman" w:ascii="Times New Roman" w:hAnsi="Times New Roman"/>
            <w:sz w:val="26"/>
            <w:szCs w:val="26"/>
          </w:rPr>
          <w:t>ст. 3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hyperlink r:id="rId5">
        <w:r>
          <w:rPr>
            <w:rStyle w:val="InternetLink"/>
            <w:rFonts w:cs="Times New Roman" w:ascii="Times New Roman" w:hAnsi="Times New Roman"/>
            <w:sz w:val="26"/>
            <w:szCs w:val="26"/>
          </w:rPr>
          <w:t>Уставом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муниципального образования «Деревня Михальчуково»</w:t>
      </w:r>
    </w:p>
    <w:p>
      <w:pPr>
        <w:pStyle w:val="Normal"/>
        <w:widowControl w:val="false"/>
        <w:autoSpaceDE w:val="false"/>
        <w:ind w:left="3540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widowControl w:val="false"/>
        <w:autoSpaceDE w:val="false"/>
        <w:ind w:left="354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6"/>
          <w:szCs w:val="26"/>
        </w:rPr>
        <w:t>Сельская   Дума</w:t>
      </w:r>
    </w:p>
    <w:p>
      <w:pPr>
        <w:pStyle w:val="Normal"/>
        <w:widowControl w:val="false"/>
        <w:autoSpaceDE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autoSpaceDE w:val="false"/>
        <w:rPr/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 xml:space="preserve">      </w:t>
        <w:tab/>
        <w:tab/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>РЕШИЛА: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Утвердить </w:t>
      </w:r>
      <w:hyperlink w:anchor="P36">
        <w:r>
          <w:rPr>
            <w:rStyle w:val="InternetLink"/>
            <w:rFonts w:cs="Times New Roman" w:ascii="Times New Roman" w:hAnsi="Times New Roman"/>
            <w:sz w:val="26"/>
            <w:szCs w:val="26"/>
          </w:rPr>
          <w:t>Положение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«О порядке предоставления в прокуратуру Медынского района Калужской области принятых нормативных правовых актов, а также их проектов для проведения правовой и антикоррупционной экспертизы» (прилагается).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Решения возложить на Главу муниципального образования сельского поселения «Деревня Михальчуково».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Настоящее Решение вступает в силу с момента обнародования.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autoSpaceDE w:val="false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 сельского  поселения </w:t>
        <w:tab/>
        <w:tab/>
        <w:tab/>
      </w:r>
    </w:p>
    <w:p>
      <w:pPr>
        <w:pStyle w:val="Normal"/>
        <w:widowControl w:val="false"/>
        <w:autoSpaceDE w:val="false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 «Деревня  Михальчуково»                                      </w:t>
        <w:tab/>
        <w:t xml:space="preserve">         Жуков Д.В. </w:t>
      </w:r>
    </w:p>
    <w:p>
      <w:pPr>
        <w:pStyle w:val="Normal"/>
        <w:widowControl w:val="false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42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4200"/>
      </w:tblGrid>
      <w:tr>
        <w:trPr/>
        <w:tc>
          <w:tcPr>
            <w:tcW w:w="622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bookmarkStart w:id="0" w:name="P36"/>
            <w:bookmarkStart w:id="1" w:name="P36"/>
            <w:bookmarkEnd w:id="1"/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Приложение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 Решению Сельской Думы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сельского поселения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«Деревня Михальчуково»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</w:rPr>
              <w:t>от  14 ноября 2016 года. № 47</w:t>
            </w:r>
          </w:p>
        </w:tc>
      </w:tr>
    </w:tbl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ПОЛОЖЕНИЕ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ПОРЯДКЕ ПРЕДОСТАВЛЕНИЯ В ПРОКУРАТУРУ МЕДЫНСКОГО РАЙОНА КАЛУЖСКОЙ ОБЛАСТИ ПРИНЯТЫХ НОРМАТИВНЫХ ПРАВОВЫХ АКТОВ, А ТАКЖЕ ИХ ПРОЕКТОВ ДЛЯ ПРОВЕДЕНИЯ ПРАВОВОЙ И АНТИКОРРУПЦИОННОЙ ЭКСПЕРТИЗЫ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1.1. Настоящее Положение определяет порядок предоставления в прокуратуру Медынского района принятых Сельской Думой сельского поселения «Деревня Михальчуково» (далее - Сельская Дума)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экспертизы, возложенных на органы прокуратуры </w:t>
      </w:r>
      <w:hyperlink r:id="rId6">
        <w:r>
          <w:rPr>
            <w:rStyle w:val="InternetLink"/>
            <w:rFonts w:cs="Times New Roman" w:ascii="Times New Roman" w:hAnsi="Times New Roman"/>
            <w:sz w:val="26"/>
            <w:szCs w:val="26"/>
          </w:rPr>
          <w:t>ст. 3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 и </w:t>
      </w:r>
      <w:hyperlink r:id="rId7">
        <w:r>
          <w:rPr>
            <w:rStyle w:val="InternetLink"/>
            <w:rFonts w:cs="Times New Roman" w:ascii="Times New Roman" w:hAnsi="Times New Roman"/>
            <w:sz w:val="26"/>
            <w:szCs w:val="26"/>
          </w:rPr>
          <w:t>ст. 9.1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17.01.1992 № 2202-1 «О прокуратуре Российской Федерации».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 Глава муниципального образования «Деревня Михальчуково» назначает ответственное лицо за своевременное направление в прокуратуру Медынского района нормативных правовых актов, а также их проектов в установленные настоящим Порядком сроки.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Порядок предоставления принятых нормативных правовых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актов, а также их проектов для проведения правовой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 антикоррупционной экспертизы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 Ответственное лицо, на которое возложены соответствующие обязанности, не позднее, чем за 5 (пять) дней до планируемой даты рассмотрения и принятия муниципального нормативного правового акта Сельской Думой, направляет его проект в прокуратуру Медынского района.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Подлежат направлению в прокуратуру Медынского района запланированные к рассмотрению и принятию проекты нормативных правовых актов, касающиеся: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прав, свобод и обязанностей человека и гражданина;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социальных гарантий лицам, замещающим (замещавшим) муниципальные должности, должности муниципальной службы.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2.2. Направлению в прокуратуру Медынского района подлежат принятые нормативные правовые акты, касающиеся: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прав, свобод и обязанностей человека и гражданина;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социальных гарантий лицам, замещающим (замещавшим) муниципальные должности, должности муниципальной службы.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Нормативные правовые акты направляются в прокуратуру Медынского района не позднее 14-ти рабочих дней со дня их принятия.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Указанные нормативные правовые акты и их проекты могут быть направлены в прокуратуру Медынского района на бумажном носителе, посредством факсимильной связи либо в форме электронного документа.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Лицо, на которое возложены соответствующие обязанности, организует процесс направления в прокуратуру Медынского района вышеуказанных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и их проектов в установленных Федеральным </w:t>
      </w:r>
      <w:hyperlink r:id="rId8">
        <w:r>
          <w:rPr>
            <w:rStyle w:val="InternetLink"/>
            <w:rFonts w:cs="Times New Roman" w:ascii="Times New Roman" w:hAnsi="Times New Roman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17.07.2009 № 172-ФЗ «Об антикоррупционной экспертизе нормативных правовых актов и проектов нормативных правовых актов» и </w:t>
      </w:r>
      <w:hyperlink r:id="rId9">
        <w:r>
          <w:rPr>
            <w:rStyle w:val="InternetLink"/>
            <w:rFonts w:cs="Times New Roman" w:ascii="Times New Roman" w:hAnsi="Times New Roman"/>
            <w:sz w:val="26"/>
            <w:szCs w:val="26"/>
          </w:rPr>
          <w:t>ст. 9.1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17.01.1992 № 2202-1 «О прокуратуре Российской Федерации» случаях, ведет учет поступивших из прокуратуры Медынского района требований прокурора об изменении нормативного правового акта, информаций (заключений) на проекты нормативных правовых актов.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Порядок рассмотрения поступившего требования прокурора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изменении нормативного правового акта, информации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выявленных противоречиях действующему законодательству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проекте нормативного правового акта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3.1. При поступлении из прокуратуры Медынского района требования прокурора об изменении нормативного правового акта, информации о выявленных противоречиях действующему законодательству в проекте нормативного правового акта, ответственное лицо подготавливает все соответствующие документы для рассмотрения требования прокурора либо информации.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 Требование прокурора об изменении нормативного правового акта подлежит обязательному рассмотрению на ближайшем заседании представительного органа муниципального образования «Деревня Михальчуково».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результатах рассмотрения требования об изменении нормативного правового акта незамедлительно сообщается прокурору, внесшему требование.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Требование прокурора об изменении нормативного правового акта может быть обжаловано в установленном законом порядке.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результатам рассмотрения требований прокурора, информации в прокуратуру Медынского района направляется соответствующая информация с приложением копии нормативного правового акта, принятого по результатам рассмотрения требования либо информации прокурора.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Проведение сверки с прокуратурой Медынского района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4.1. Каждое полугодие, не позднее 5-го числа месяца, следующего за отчетным периодом, ответственным лицом в прокуратуру Медынского района предоставляется акт сверки направленных в прокуратуру района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Акт сверки должен содержать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период, за который проводится сверка;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количество направленных в прокуратуру нормативных правовых актов и проектов нормативных правовых актов (раздельно);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подписи ответственных лиц.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134" w:right="397" w:header="0" w:top="56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</w:rPr>
  </w:style>
  <w:style w:type="character" w:styleId="Style15">
    <w:name w:val="Цветовое выделение"/>
    <w:qFormat/>
    <w:rPr>
      <w:b/>
      <w:bCs/>
      <w:color w:val="000080"/>
    </w:rPr>
  </w:style>
  <w:style w:type="character" w:styleId="FontStyle14">
    <w:name w:val="Font Style14"/>
    <w:basedOn w:val="Style13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FontStyle15">
    <w:name w:val="Font Style15"/>
    <w:basedOn w:val="Style13"/>
    <w:qFormat/>
    <w:rPr>
      <w:rFonts w:ascii="Times New Roman" w:hAnsi="Times New Roman" w:cs="Times New Roman"/>
      <w:sz w:val="24"/>
      <w:szCs w:val="24"/>
    </w:rPr>
  </w:style>
  <w:style w:type="character" w:styleId="FontStyle11">
    <w:name w:val="Font Style11"/>
    <w:basedOn w:val="Style13"/>
    <w:qFormat/>
    <w:rPr>
      <w:rFonts w:ascii="Arial" w:hAnsi="Arial" w:cs="Arial"/>
      <w:sz w:val="22"/>
      <w:szCs w:val="22"/>
    </w:rPr>
  </w:style>
  <w:style w:type="character" w:styleId="FontStyle12">
    <w:name w:val="Font Style12"/>
    <w:basedOn w:val="Style13"/>
    <w:qFormat/>
    <w:rPr>
      <w:rFonts w:ascii="Arial" w:hAnsi="Arial" w:cs="Arial"/>
      <w:b/>
      <w:bCs/>
      <w:sz w:val="18"/>
      <w:szCs w:val="18"/>
    </w:rPr>
  </w:style>
  <w:style w:type="character" w:styleId="FontStyle13">
    <w:name w:val="Font Style13"/>
    <w:basedOn w:val="Style13"/>
    <w:qFormat/>
    <w:rPr>
      <w:rFonts w:ascii="Arial" w:hAnsi="Arial" w:cs="Arial"/>
      <w:sz w:val="18"/>
      <w:szCs w:val="18"/>
    </w:rPr>
  </w:style>
  <w:style w:type="character" w:styleId="Style16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  <w:jc w:val="both"/>
    </w:pPr>
    <w:rPr>
      <w:rFonts w:ascii="Times New Roman" w:hAnsi="Times New Roman" w:cs="Times New Roman"/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Заголовок статьи"/>
    <w:basedOn w:val="Normal"/>
    <w:next w:val="Normal"/>
    <w:qFormat/>
    <w:pPr>
      <w:widowControl w:val="false"/>
      <w:autoSpaceDE w:val="false"/>
      <w:ind w:left="1612" w:hanging="892"/>
      <w:jc w:val="both"/>
    </w:pPr>
    <w:rPr>
      <w:rFonts w:ascii="Arial" w:hAnsi="Arial" w:cs="Arial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24"/>
      <w:jc w:val="center"/>
    </w:pPr>
    <w:rPr/>
  </w:style>
  <w:style w:type="paragraph" w:styleId="Style71">
    <w:name w:val="Style7"/>
    <w:basedOn w:val="Normal"/>
    <w:qFormat/>
    <w:pPr>
      <w:widowControl w:val="false"/>
      <w:autoSpaceDE w:val="false"/>
      <w:spacing w:lineRule="exact" w:line="324"/>
      <w:ind w:firstLine="360"/>
    </w:pPr>
    <w:rPr/>
  </w:style>
  <w:style w:type="paragraph" w:styleId="Style91">
    <w:name w:val="Style9"/>
    <w:basedOn w:val="Normal"/>
    <w:qFormat/>
    <w:pPr>
      <w:widowControl w:val="false"/>
      <w:autoSpaceDE w:val="false"/>
      <w:spacing w:lineRule="exact" w:line="322"/>
      <w:ind w:firstLine="346"/>
    </w:pPr>
    <w:rPr/>
  </w:style>
  <w:style w:type="paragraph" w:styleId="Style101">
    <w:name w:val="Style10"/>
    <w:basedOn w:val="Normal"/>
    <w:qFormat/>
    <w:pPr>
      <w:widowControl w:val="false"/>
      <w:autoSpaceDE w:val="false"/>
      <w:spacing w:lineRule="exact" w:line="322"/>
      <w:jc w:val="both"/>
    </w:pPr>
    <w:rPr/>
  </w:style>
  <w:style w:type="paragraph" w:styleId="Style111">
    <w:name w:val="Style11"/>
    <w:basedOn w:val="Normal"/>
    <w:qFormat/>
    <w:pPr>
      <w:widowControl w:val="false"/>
      <w:autoSpaceDE w:val="false"/>
      <w:spacing w:lineRule="exact" w:line="322"/>
      <w:ind w:firstLine="494"/>
      <w:jc w:val="both"/>
    </w:pPr>
    <w:rPr/>
  </w:style>
  <w:style w:type="paragraph" w:styleId="Style18">
    <w:name w:val="Style1"/>
    <w:basedOn w:val="Normal"/>
    <w:qFormat/>
    <w:pPr>
      <w:widowControl w:val="false"/>
      <w:autoSpaceDE w:val="false"/>
      <w:spacing w:lineRule="exact" w:line="262"/>
    </w:pPr>
    <w:rPr>
      <w:rFonts w:ascii="Arial" w:hAnsi="Arial" w:cs="Arial"/>
    </w:rPr>
  </w:style>
  <w:style w:type="paragraph" w:styleId="Style21">
    <w:name w:val="Style2"/>
    <w:basedOn w:val="Normal"/>
    <w:qFormat/>
    <w:pPr>
      <w:widowControl w:val="false"/>
      <w:autoSpaceDE w:val="false"/>
      <w:spacing w:lineRule="exact" w:line="276"/>
    </w:pPr>
    <w:rPr>
      <w:rFonts w:ascii="Arial" w:hAnsi="Arial" w:cs="Arial"/>
    </w:rPr>
  </w:style>
  <w:style w:type="paragraph" w:styleId="Style31">
    <w:name w:val="Style3"/>
    <w:basedOn w:val="Normal"/>
    <w:qFormat/>
    <w:pPr>
      <w:widowControl w:val="false"/>
      <w:autoSpaceDE w:val="false"/>
    </w:pPr>
    <w:rPr>
      <w:rFonts w:ascii="Arial" w:hAnsi="Arial" w:cs="Arial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54"/>
      <w:jc w:val="center"/>
    </w:pPr>
    <w:rPr>
      <w:rFonts w:ascii="Arial" w:hAnsi="Arial" w:cs="Arial"/>
    </w:rPr>
  </w:style>
  <w:style w:type="paragraph" w:styleId="Style61">
    <w:name w:val="Style6"/>
    <w:basedOn w:val="Normal"/>
    <w:qFormat/>
    <w:pPr>
      <w:widowControl w:val="false"/>
      <w:autoSpaceDE w:val="false"/>
      <w:spacing w:lineRule="exact" w:line="230"/>
    </w:pPr>
    <w:rPr>
      <w:rFonts w:ascii="Arial" w:hAnsi="Arial" w:cs="Arial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тиль"/>
    <w:qFormat/>
    <w:pPr>
      <w:widowControl w:val="false"/>
      <w:autoSpaceDE w:val="false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Style22">
    <w:name w:val="Без интервала"/>
    <w:qFormat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D9EBA32592CB63F78383CD2A6E83264B3C8A7840D196D17ABC01B2AA9C40ADA9F8D087035z019I" TargetMode="External"/><Relationship Id="rId3" Type="http://schemas.openxmlformats.org/officeDocument/2006/relationships/hyperlink" Target="consultantplus://offline/ref=2D9EBA32592CB63F78383CD2A6E83264B0C1A38C091B6D17ABC01B2AA9C40ADA9F8D0875370CDC6Cz81AI" TargetMode="External"/><Relationship Id="rId4" Type="http://schemas.openxmlformats.org/officeDocument/2006/relationships/hyperlink" Target="consultantplus://offline/ref=2D9EBA32592CB63F78383CD2A6E83264B0CDA488071A6D17ABC01B2AA9C40ADA9F8D0875370CDC69z815I" TargetMode="External"/><Relationship Id="rId5" Type="http://schemas.openxmlformats.org/officeDocument/2006/relationships/hyperlink" Target="consultantplus://offline/ref=2D9EBA32592CB63F783822DFB0846C6AB6C3F98107196349F79F4077FECD008DzD18I" TargetMode="External"/><Relationship Id="rId6" Type="http://schemas.openxmlformats.org/officeDocument/2006/relationships/hyperlink" Target="consultantplus://offline/ref=2D9EBA32592CB63F78383CD2A6E83264B0CDA488071A6D17ABC01B2AA9C40ADA9F8D0875370CDC69z815I" TargetMode="External"/><Relationship Id="rId7" Type="http://schemas.openxmlformats.org/officeDocument/2006/relationships/hyperlink" Target="consultantplus://offline/ref=2D9EBA32592CB63F78383CD2A6E83264B3C8A7850D1C6D17ABC01B2AA9C40ADA9F8D0875370CD96Az818I" TargetMode="External"/><Relationship Id="rId8" Type="http://schemas.openxmlformats.org/officeDocument/2006/relationships/hyperlink" Target="consultantplus://offline/ref=2D9EBA32592CB63F78383CD2A6E83264B0CDA488071A6D17ABC01B2AA9zC14I" TargetMode="External"/><Relationship Id="rId9" Type="http://schemas.openxmlformats.org/officeDocument/2006/relationships/hyperlink" Target="consultantplus://offline/ref=2D9EBA32592CB63F78383CD2A6E83264B3C8A7850D1C6D17ABC01B2AA9C40ADA9F8D0875370CD96Az818I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2016-11-23T07:00:00Z</dcterms:created>
  <dc:creator>Admin</dc:creator>
  <dc:description/>
  <cp:keywords/>
  <dc:language>en-US</dc:language>
  <cp:lastModifiedBy>Ультима</cp:lastModifiedBy>
  <cp:lastPrinted>2017-02-22T09:24:00Z</cp:lastPrinted>
  <dcterms:modified xsi:type="dcterms:W3CDTF">2020-07-31T08:54:00Z</dcterms:modified>
  <cp:revision>10</cp:revision>
  <dc:subject/>
  <dc:title>Сельская Дума</dc:title>
</cp:coreProperties>
</file>