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СЕЛЬСКАЯ ДУМА</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СЕЛЬСКОГО ПОСЕЛЕНИЯ «ДЕРЕВНЯ МИХАЛЬЧУКОВО»</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МЕДЫНСКОГО РАЙОНА КАЛУЖСКОЙ ОБЛАСТИ</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РЕШЕНИЕ</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от 09 марта 2022 г.                д.Михальчуково                              № 70</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Отчёт Главы</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сельского поселения «Деревня Михальчуково»</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о результатах деятельности за 2021 год</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Сельская   Дума</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РЕШИЛА: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1. Отчёт Главы сельского поселения «Деревня Михальчуково» о результатах деятельности за 2021 год утвердить (прилагается).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2. Деятельность Главы сельского поселения «Деревня Михальчуково» за 2021 год признать удовлетворительной.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3. Обнародовать отчёт Главы сельского поселения «Деревня Михальчуково» о результатах деятельности за 2021 год установленным порядком.</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Глава сельского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«Деревня Михальчуково»                                                           Д.В.Жуков         </w:t>
      </w:r>
    </w:p>
    <w:tbl>
      <w:tblPr>
        <w:tblW w:w="0" w:type="auto"/>
        <w:tblBorders>
          <w:top w:val="outset" w:sz="24" w:space="0" w:color="auto"/>
          <w:left w:val="outset" w:sz="24" w:space="0" w:color="auto"/>
          <w:bottom w:val="outset" w:sz="24" w:space="0" w:color="auto"/>
          <w:right w:val="outset" w:sz="24" w:space="0" w:color="auto"/>
        </w:tblBorders>
        <w:shd w:val="clear" w:color="auto" w:fill="FFFFFF"/>
        <w:tblCellMar>
          <w:left w:w="0" w:type="dxa"/>
          <w:right w:w="0" w:type="dxa"/>
        </w:tblCellMar>
        <w:tblLook w:val="04A0"/>
      </w:tblPr>
      <w:tblGrid>
        <w:gridCol w:w="66"/>
        <w:gridCol w:w="2009"/>
      </w:tblGrid>
      <w:tr w:rsidR="00097203" w:rsidRPr="00097203" w:rsidTr="00097203">
        <w:tc>
          <w:tcPr>
            <w:tcW w:w="0" w:type="auto"/>
            <w:tcBorders>
              <w:top w:val="outset" w:sz="24" w:space="0" w:color="auto"/>
              <w:left w:val="outset" w:sz="24" w:space="0" w:color="auto"/>
              <w:bottom w:val="outset" w:sz="24" w:space="0" w:color="auto"/>
              <w:right w:val="outset" w:sz="24" w:space="0" w:color="auto"/>
            </w:tcBorders>
            <w:shd w:val="clear" w:color="auto" w:fill="FFFFFF"/>
            <w:vAlign w:val="center"/>
            <w:hideMark/>
          </w:tcPr>
          <w:p w:rsidR="00097203" w:rsidRPr="00097203" w:rsidRDefault="00097203" w:rsidP="00097203">
            <w:pPr>
              <w:spacing w:after="0" w:line="240" w:lineRule="auto"/>
              <w:rPr>
                <w:rFonts w:ascii="Times New Roman" w:eastAsia="Times New Roman" w:hAnsi="Times New Roman" w:cs="Times New Roman"/>
                <w:color w:val="212121"/>
                <w:sz w:val="17"/>
                <w:szCs w:val="17"/>
                <w:lang w:eastAsia="ru-RU"/>
              </w:rPr>
            </w:pPr>
          </w:p>
        </w:tc>
        <w:tc>
          <w:tcPr>
            <w:tcW w:w="0" w:type="auto"/>
            <w:tcBorders>
              <w:top w:val="outset" w:sz="24" w:space="0" w:color="auto"/>
              <w:left w:val="outset" w:sz="24" w:space="0" w:color="auto"/>
              <w:bottom w:val="outset" w:sz="24" w:space="0" w:color="auto"/>
              <w:right w:val="outset" w:sz="24" w:space="0" w:color="auto"/>
            </w:tcBorders>
            <w:shd w:val="clear" w:color="auto" w:fill="FFFFFF"/>
            <w:vAlign w:val="center"/>
            <w:hideMark/>
          </w:tcPr>
          <w:p w:rsidR="00097203" w:rsidRPr="00097203" w:rsidRDefault="00097203" w:rsidP="00097203">
            <w:pPr>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Утверждено</w:t>
            </w:r>
          </w:p>
          <w:p w:rsidR="00097203" w:rsidRPr="00097203" w:rsidRDefault="00097203" w:rsidP="00097203">
            <w:pPr>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Решением Сельской Думы</w:t>
            </w:r>
          </w:p>
          <w:p w:rsidR="00097203" w:rsidRPr="00097203" w:rsidRDefault="00097203" w:rsidP="00097203">
            <w:pPr>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сельского поселения</w:t>
            </w:r>
          </w:p>
          <w:p w:rsidR="00097203" w:rsidRPr="00097203" w:rsidRDefault="00097203" w:rsidP="00097203">
            <w:pPr>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«Деревня Михальчуково»</w:t>
            </w:r>
          </w:p>
          <w:p w:rsidR="00097203" w:rsidRPr="00097203" w:rsidRDefault="00097203" w:rsidP="00097203">
            <w:pPr>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от 09 марта 2022 года №70</w:t>
            </w:r>
          </w:p>
        </w:tc>
      </w:tr>
    </w:tbl>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ОТЧЕТ</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ГЛАВЫ СЕЛЬСКОГО ПОСЕЛЕНИЯ «ДЕРЕВНЯ МИХАЛЬЧУКОВО» О ПРОДЕЛАННОЙ РАБОТЕ ЗА 2021 ГОД И ЗАДАЧАХ НА 2022 ГОД</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Уважаемые депутаты, жители и гости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В целях исполнения   Федерального закона от 06.10.2003 года   № 131- ФЗ «Об общих принципах организации местного самоуправления в Российской Федерации», Устава сельского поселения, работа главы и администрации сельского поселения была направлена на решение вопросов местного значения, определенных данным законом, а также полномочий, которыми наделены органы местного самоуправления.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Такие отчеты дают возможность каждому жителю дать оценку работе Сельской Думы и администрации, обратить внимание на существующие проблемы. Я благодарен всем, кто имеет активную жизненную позицию, кто своим участием, неравнодушием помогает создавать более комфортную жизнь в наших селах. Основные вопросы, которые всегда затрагиваются в отчетах администрации за прошедший период - это исполнение бюджета по доходам и расходам, исполнение полномочий по решению вопросов местного значения.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Прозрачность работы администрации, в соответствии с требованиями законодательства отражается на официальном сайте администрации в сети «Интернет», который функционирует с 2013 года.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Прежде чем подвести итоги социально-экономического развития нашей территории за 2021год, позвольте остановиться на некоторых данных.</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На 01 января 2022 года земельный фонд нашего поселения составляет 44,6 га.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Доля земель сельскохозяйственного назначения 22,7 га.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Доля земель лесного фонда – 17,9 га.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Площадь населенных пунктов составляет 4 га. И включает в себя 9 деревень: Михальчуково, Радюкино, Корнеево, Хорошая, Выдровка, Шугурово, Чукаево, Малое Дарьино и Киреево.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Численность населения на 01 января 2022 года составляет 581 человек.</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За 2021год родился 1 ребенок, (в 2020- 2 детей); умерло - 26 (в 2020 - 42 чел.);</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Прибыло – 35 чел., убыло – 12 чел.</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Из общей численности населения: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детей до 18 лет – 72 человека;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трудоспособного населения – 252 человека;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пенсионеры – 257 человек.</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ФОРМИРОВАНИЕ, УТВЕРЖДЕНИЕ И ИСПОЛНЕНИЕ БЮДЖЕТА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Бюджет сельского поселения «Деревня Михальчуково» формировался на основании Бюджетного кодекса РФ и Положения о бюджетном процессе в сельском поселении «Деревня Михальчуково».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Бюджет сельского поселения «Деревня Михальчуково» – форма образования и расходования денежных средств, предназначенных для обеспечения задач и функций, отнесенных к органам местного самоуправления. Распорядитель бюджетных средств местного бюджета – администрация сельского поселения «Деревня Михальчуково».</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ИСПОЛНЕНИЕ ДОХОДНОЙ ЧАСТИ МЕСТНОГО БЮДЖЕТА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Доходная часть на 2021 год утверждена в сумме 4 599 919,00 руб., исполнена в сумме 4 312 463,66руб., что составило 93,75%.</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В структуре общих доходов бюджета сельского поселения «Деревня Михальчуково» доля налоговых доходов составляет 926 424,60руб. это 21,48 %, безвозмездные поступления доходов формируется за счет дотации на выравнивание бюджетной обеспеченности, за счет субвенций, за счет межбюджетных трансфертов, за счет прочих межбюджетных трансфертов и составляют 3 386 039,06 руб. это 78,52 %.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Основными доходными источниками налоговых поступлений являются: налог на доходы физических лиц и земельный налог.</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Налоговые доходы</w:t>
      </w:r>
      <w:r w:rsidRPr="00097203">
        <w:rPr>
          <w:rFonts w:ascii="Times New Roman" w:eastAsia="Times New Roman" w:hAnsi="Times New Roman" w:cs="Times New Roman"/>
          <w:color w:val="212121"/>
          <w:sz w:val="17"/>
          <w:szCs w:val="17"/>
          <w:lang w:eastAsia="ru-RU"/>
        </w:rPr>
        <w:t> исполнены в сумме 926 424,60 руб., при плане 842 435,00 руб., исполнение составило 109,97%. Из них:</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w:t>
      </w:r>
      <w:r w:rsidRPr="00097203">
        <w:rPr>
          <w:rFonts w:ascii="Times New Roman" w:eastAsia="Times New Roman" w:hAnsi="Times New Roman" w:cs="Times New Roman"/>
          <w:b/>
          <w:bCs/>
          <w:color w:val="212121"/>
          <w:sz w:val="17"/>
          <w:szCs w:val="17"/>
          <w:lang w:eastAsia="ru-RU"/>
        </w:rPr>
        <w:t>налог на доходы физических лиц</w:t>
      </w:r>
      <w:r w:rsidRPr="00097203">
        <w:rPr>
          <w:rFonts w:ascii="Times New Roman" w:eastAsia="Times New Roman" w:hAnsi="Times New Roman" w:cs="Times New Roman"/>
          <w:color w:val="212121"/>
          <w:sz w:val="17"/>
          <w:szCs w:val="17"/>
          <w:lang w:eastAsia="ru-RU"/>
        </w:rPr>
        <w:t> при плане 148 530,00 руб., исполнено            161 826,51 руб., что составило 108,95 %;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r w:rsidRPr="00097203">
        <w:rPr>
          <w:rFonts w:ascii="Times New Roman" w:eastAsia="Times New Roman" w:hAnsi="Times New Roman" w:cs="Times New Roman"/>
          <w:b/>
          <w:bCs/>
          <w:color w:val="212121"/>
          <w:sz w:val="17"/>
          <w:szCs w:val="17"/>
          <w:lang w:eastAsia="ru-RU"/>
        </w:rPr>
        <w:t>налог на имущество физических лиц</w:t>
      </w:r>
      <w:r w:rsidRPr="00097203">
        <w:rPr>
          <w:rFonts w:ascii="Times New Roman" w:eastAsia="Times New Roman" w:hAnsi="Times New Roman" w:cs="Times New Roman"/>
          <w:color w:val="212121"/>
          <w:sz w:val="17"/>
          <w:szCs w:val="17"/>
          <w:lang w:eastAsia="ru-RU"/>
        </w:rPr>
        <w:t> взимаемый по ставкам, применяемым к объектам налогообложения, расположенным в границах поселений» при плане   119 316,00 руб., исполнено 128 542,49</w:t>
      </w:r>
      <w:r w:rsidRPr="00097203">
        <w:rPr>
          <w:rFonts w:ascii="Times New Roman" w:eastAsia="Times New Roman" w:hAnsi="Times New Roman" w:cs="Times New Roman"/>
          <w:b/>
          <w:bCs/>
          <w:color w:val="212121"/>
          <w:sz w:val="17"/>
          <w:szCs w:val="17"/>
          <w:lang w:eastAsia="ru-RU"/>
        </w:rPr>
        <w:t> </w:t>
      </w:r>
      <w:r w:rsidRPr="00097203">
        <w:rPr>
          <w:rFonts w:ascii="Times New Roman" w:eastAsia="Times New Roman" w:hAnsi="Times New Roman" w:cs="Times New Roman"/>
          <w:color w:val="212121"/>
          <w:sz w:val="17"/>
          <w:szCs w:val="17"/>
          <w:lang w:eastAsia="ru-RU"/>
        </w:rPr>
        <w:t>руб., что составило 107,73 % - платежи населения;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r w:rsidRPr="00097203">
        <w:rPr>
          <w:rFonts w:ascii="Times New Roman" w:eastAsia="Times New Roman" w:hAnsi="Times New Roman" w:cs="Times New Roman"/>
          <w:b/>
          <w:bCs/>
          <w:color w:val="212121"/>
          <w:sz w:val="17"/>
          <w:szCs w:val="17"/>
          <w:lang w:eastAsia="ru-RU"/>
        </w:rPr>
        <w:t>земельный налог</w:t>
      </w:r>
      <w:r w:rsidRPr="00097203">
        <w:rPr>
          <w:rFonts w:ascii="Times New Roman" w:eastAsia="Times New Roman" w:hAnsi="Times New Roman" w:cs="Times New Roman"/>
          <w:color w:val="212121"/>
          <w:sz w:val="17"/>
          <w:szCs w:val="17"/>
          <w:lang w:eastAsia="ru-RU"/>
        </w:rPr>
        <w:t> при плане 547 180,00 руб., исполнено 507 640,55 руб., что составило 92,77%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r w:rsidRPr="00097203">
        <w:rPr>
          <w:rFonts w:ascii="Times New Roman" w:eastAsia="Times New Roman" w:hAnsi="Times New Roman" w:cs="Times New Roman"/>
          <w:b/>
          <w:bCs/>
          <w:color w:val="212121"/>
          <w:sz w:val="17"/>
          <w:szCs w:val="17"/>
          <w:lang w:eastAsia="ru-RU"/>
        </w:rPr>
        <w:t>налог, взимаемый в связи с применением упрощенной системы налогообложения </w:t>
      </w:r>
      <w:r w:rsidRPr="00097203">
        <w:rPr>
          <w:rFonts w:ascii="Times New Roman" w:eastAsia="Times New Roman" w:hAnsi="Times New Roman" w:cs="Times New Roman"/>
          <w:color w:val="212121"/>
          <w:sz w:val="17"/>
          <w:szCs w:val="17"/>
          <w:lang w:eastAsia="ru-RU"/>
        </w:rPr>
        <w:t>при плане 27 409,00 руб., исполнено 14 540,90</w:t>
      </w:r>
      <w:r w:rsidRPr="00097203">
        <w:rPr>
          <w:rFonts w:ascii="Times New Roman" w:eastAsia="Times New Roman" w:hAnsi="Times New Roman" w:cs="Times New Roman"/>
          <w:b/>
          <w:bCs/>
          <w:color w:val="212121"/>
          <w:sz w:val="17"/>
          <w:szCs w:val="17"/>
          <w:lang w:eastAsia="ru-RU"/>
        </w:rPr>
        <w:t> </w:t>
      </w:r>
      <w:r w:rsidRPr="00097203">
        <w:rPr>
          <w:rFonts w:ascii="Times New Roman" w:eastAsia="Times New Roman" w:hAnsi="Times New Roman" w:cs="Times New Roman"/>
          <w:color w:val="212121"/>
          <w:sz w:val="17"/>
          <w:szCs w:val="17"/>
          <w:lang w:eastAsia="ru-RU"/>
        </w:rPr>
        <w:t>руб., что составило 53,05%;</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r w:rsidRPr="00097203">
        <w:rPr>
          <w:rFonts w:ascii="Times New Roman" w:eastAsia="Times New Roman" w:hAnsi="Times New Roman" w:cs="Times New Roman"/>
          <w:b/>
          <w:bCs/>
          <w:color w:val="212121"/>
          <w:sz w:val="17"/>
          <w:szCs w:val="17"/>
          <w:lang w:eastAsia="ru-RU"/>
        </w:rPr>
        <w:t>налоги на имущество </w:t>
      </w:r>
      <w:r w:rsidRPr="00097203">
        <w:rPr>
          <w:rFonts w:ascii="Times New Roman" w:eastAsia="Times New Roman" w:hAnsi="Times New Roman" w:cs="Times New Roman"/>
          <w:color w:val="212121"/>
          <w:sz w:val="17"/>
          <w:szCs w:val="17"/>
          <w:lang w:eastAsia="ru-RU"/>
        </w:rPr>
        <w:t>исполнение составило</w:t>
      </w:r>
      <w:r w:rsidRPr="00097203">
        <w:rPr>
          <w:rFonts w:ascii="Times New Roman" w:eastAsia="Times New Roman" w:hAnsi="Times New Roman" w:cs="Times New Roman"/>
          <w:b/>
          <w:bCs/>
          <w:color w:val="212121"/>
          <w:sz w:val="17"/>
          <w:szCs w:val="17"/>
          <w:lang w:eastAsia="ru-RU"/>
        </w:rPr>
        <w:t> – </w:t>
      </w:r>
      <w:r w:rsidRPr="00097203">
        <w:rPr>
          <w:rFonts w:ascii="Times New Roman" w:eastAsia="Times New Roman" w:hAnsi="Times New Roman" w:cs="Times New Roman"/>
          <w:color w:val="212121"/>
          <w:sz w:val="17"/>
          <w:szCs w:val="17"/>
          <w:lang w:eastAsia="ru-RU"/>
        </w:rPr>
        <w:t>913,57 руб.</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r w:rsidRPr="00097203">
        <w:rPr>
          <w:rFonts w:ascii="Times New Roman" w:eastAsia="Times New Roman" w:hAnsi="Times New Roman" w:cs="Times New Roman"/>
          <w:color w:val="212121"/>
          <w:sz w:val="17"/>
          <w:szCs w:val="17"/>
          <w:lang w:eastAsia="ru-RU"/>
        </w:rPr>
        <w:t>исполнены в сумме 114 787,72 руб. при плане 0,00 рублей.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Безвозмездные поступления</w:t>
      </w:r>
      <w:r w:rsidRPr="00097203">
        <w:rPr>
          <w:rFonts w:ascii="Times New Roman" w:eastAsia="Times New Roman" w:hAnsi="Times New Roman" w:cs="Times New Roman"/>
          <w:color w:val="212121"/>
          <w:sz w:val="17"/>
          <w:szCs w:val="17"/>
          <w:lang w:eastAsia="ru-RU"/>
        </w:rPr>
        <w:t> исполнены в сумме 3 386 039,06</w:t>
      </w:r>
      <w:r w:rsidRPr="00097203">
        <w:rPr>
          <w:rFonts w:ascii="Times New Roman" w:eastAsia="Times New Roman" w:hAnsi="Times New Roman" w:cs="Times New Roman"/>
          <w:b/>
          <w:bCs/>
          <w:color w:val="212121"/>
          <w:sz w:val="17"/>
          <w:szCs w:val="17"/>
          <w:lang w:eastAsia="ru-RU"/>
        </w:rPr>
        <w:t> </w:t>
      </w:r>
      <w:r w:rsidRPr="00097203">
        <w:rPr>
          <w:rFonts w:ascii="Times New Roman" w:eastAsia="Times New Roman" w:hAnsi="Times New Roman" w:cs="Times New Roman"/>
          <w:color w:val="212121"/>
          <w:sz w:val="17"/>
          <w:szCs w:val="17"/>
          <w:lang w:eastAsia="ru-RU"/>
        </w:rPr>
        <w:t>руб., при плане   3 757 484,00</w:t>
      </w:r>
      <w:r w:rsidRPr="00097203">
        <w:rPr>
          <w:rFonts w:ascii="Times New Roman" w:eastAsia="Times New Roman" w:hAnsi="Times New Roman" w:cs="Times New Roman"/>
          <w:b/>
          <w:bCs/>
          <w:color w:val="212121"/>
          <w:sz w:val="17"/>
          <w:szCs w:val="17"/>
          <w:lang w:eastAsia="ru-RU"/>
        </w:rPr>
        <w:t> </w:t>
      </w:r>
      <w:r w:rsidRPr="00097203">
        <w:rPr>
          <w:rFonts w:ascii="Times New Roman" w:eastAsia="Times New Roman" w:hAnsi="Times New Roman" w:cs="Times New Roman"/>
          <w:color w:val="212121"/>
          <w:sz w:val="17"/>
          <w:szCs w:val="17"/>
          <w:lang w:eastAsia="ru-RU"/>
        </w:rPr>
        <w:t>руб., исполнение 90,11%, в том числе:</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1.Дотация бюджетам сельских поселений на выравнивание бюджетной обеспеченности при плане 2 108 409,00</w:t>
      </w:r>
      <w:r w:rsidRPr="00097203">
        <w:rPr>
          <w:rFonts w:ascii="Times New Roman" w:eastAsia="Times New Roman" w:hAnsi="Times New Roman" w:cs="Times New Roman"/>
          <w:b/>
          <w:bCs/>
          <w:color w:val="212121"/>
          <w:sz w:val="17"/>
          <w:szCs w:val="17"/>
          <w:lang w:eastAsia="ru-RU"/>
        </w:rPr>
        <w:t> </w:t>
      </w:r>
      <w:r w:rsidRPr="00097203">
        <w:rPr>
          <w:rFonts w:ascii="Times New Roman" w:eastAsia="Times New Roman" w:hAnsi="Times New Roman" w:cs="Times New Roman"/>
          <w:color w:val="212121"/>
          <w:sz w:val="17"/>
          <w:szCs w:val="17"/>
          <w:lang w:eastAsia="ru-RU"/>
        </w:rPr>
        <w:t>руб. исполнена в сумме 2 108 409,00</w:t>
      </w:r>
      <w:r w:rsidRPr="00097203">
        <w:rPr>
          <w:rFonts w:ascii="Times New Roman" w:eastAsia="Times New Roman" w:hAnsi="Times New Roman" w:cs="Times New Roman"/>
          <w:b/>
          <w:bCs/>
          <w:color w:val="212121"/>
          <w:sz w:val="17"/>
          <w:szCs w:val="17"/>
          <w:lang w:eastAsia="ru-RU"/>
        </w:rPr>
        <w:t> </w:t>
      </w:r>
      <w:r w:rsidRPr="00097203">
        <w:rPr>
          <w:rFonts w:ascii="Times New Roman" w:eastAsia="Times New Roman" w:hAnsi="Times New Roman" w:cs="Times New Roman"/>
          <w:color w:val="212121"/>
          <w:sz w:val="17"/>
          <w:szCs w:val="17"/>
          <w:lang w:eastAsia="ru-RU"/>
        </w:rPr>
        <w:t>руб., что составило 100%.</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2. Субвенции на осуществление первичного воинского учета за счет   федеральных средств, при плане 62 920,00 руб., исполнено в сумме 63 200,00 руб., что составило 99,56%.</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3. Прочие субсидии бюджетам сельских поселений исполнены в сумме 153 180,00 руб. при плане 700 275,00 руб., исполнение составило 21,87 %.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4. Иные межбюджетные трансферты исполнены в сумме 1 061 530,00 руб., при плане 885 600,00 руб. что составляет 119,87%.</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ИСПОЛНЕНИЕ РАСХОДНОЙ ЧАСТИ МЕСТНОГО БЮДЖЕТА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Расходная часть бюджета в 2021 году при плане 4 642 040,75</w:t>
      </w:r>
      <w:r w:rsidRPr="00097203">
        <w:rPr>
          <w:rFonts w:ascii="Times New Roman" w:eastAsia="Times New Roman" w:hAnsi="Times New Roman" w:cs="Times New Roman"/>
          <w:b/>
          <w:bCs/>
          <w:color w:val="212121"/>
          <w:sz w:val="17"/>
          <w:szCs w:val="17"/>
          <w:lang w:eastAsia="ru-RU"/>
        </w:rPr>
        <w:t> </w:t>
      </w:r>
      <w:r w:rsidRPr="00097203">
        <w:rPr>
          <w:rFonts w:ascii="Times New Roman" w:eastAsia="Times New Roman" w:hAnsi="Times New Roman" w:cs="Times New Roman"/>
          <w:color w:val="212121"/>
          <w:sz w:val="17"/>
          <w:szCs w:val="17"/>
          <w:lang w:eastAsia="ru-RU"/>
        </w:rPr>
        <w:t>руб. составила           4 232 839,64 руб., что составляет 91,18 % , в том числе:</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Средства бюджета расходовались по следующим направлениям:</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общегосударственные вопросы – 1 458 810,21 рублей;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национальная оборона – 62 920,06 рублей;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жилищно-коммунальное хозяйство – 950 223,75 рублей;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межбюджетные трансферты – 632 190,33 рублей;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расходы СДК – 40 578,00 рублей.</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Социальная сфера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Первоочередная задача, которая стоит перед администрацией поселения – это решение вопросов местного значения и исполнение полномочий, предусмотренных 131-ФЗ «Об общих принципах организации местного самоуправления в Российской Федерации», законами субъекта федерации и Уставом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Эти полномочия осуществляются путем организации повседневной работы администрации поселения, подготовке нормативно-правовых документов, в том числе и проектов решений Сельской Думы, проведения встреч с жителями и активом поселения, осуществления личного приема граждан Главой и муниципальными служащими администрации, рассмотрения письменных и устных обращений.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Основное направление работы администрации в рамках осуществляемой социальной политики, прежде всего, это организация качественной работы с населением. Через обращения граждан как письменные, так и устные формируется и корректируется план осуществляемой как повседневной, так и долгосрочной работы администрации.</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С жителями поселения были проведены публичные слушания по бюджету сельского поселения и по проекту планировки территории по объекту «Автомобильная дорога А-130 Москва-Малоярославец-Рославль-граница с Республикой Белоруссия на участке км 166+447 - км 196+000, Калужская область» В д.Радюкино были проведены собрания с жителями 3 дома по вопросу выбора способа управления многоквартирным домом и управляющей компании. Также была проведена работа по разъяснению жителям поселения программы «Догазификации», сбор и подача необходимых документов для участия в программе.</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Депутаты Сельской Думы работают совместно с администрацией поселения, которая исполняет принятые депутатами решения. Сельская Дума представлена семью депутатами. Возглавляет Сельскую Думу глава поселения. </w:t>
      </w:r>
      <w:r w:rsidRPr="00097203">
        <w:rPr>
          <w:rFonts w:ascii="Times New Roman" w:eastAsia="Times New Roman" w:hAnsi="Times New Roman" w:cs="Times New Roman"/>
          <w:color w:val="212121"/>
          <w:sz w:val="17"/>
          <w:szCs w:val="17"/>
          <w:lang w:eastAsia="ru-RU"/>
        </w:rPr>
        <w:t>Представительным органом сельского поселения Сельской Думой за 2021 год проведено 10 сессий. Принято 30 решений, в том числе 12 нормативно-правовых акта.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Все НПА размещаются на официальном сайте сельского поселения «Деревня Михальчуково».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Проекты НПА, решений Сельской Думы направляются в прокуратуру района для правовой экспертизы.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Основными вопросами на заседаниях Сельской Думы были:</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вопросы жилищно-коммунального хозяйства;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вопросы по внесению изменений и дополнений в бюджет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вопросы социальной поддержки населения;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вопросы благоустройства территории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вопросы связанные с реализацией инициативных проектов;</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вопросы поддержки субъектов малого и среднего предпринимательства.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1C1C1C"/>
          <w:sz w:val="17"/>
          <w:szCs w:val="17"/>
          <w:lang w:eastAsia="ru-RU"/>
        </w:rPr>
        <w:t>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Депутатами Сельской Думы и Администрацией поселения на постоянной основе исполнялся ряд комплексных мер по обеспечению устойчивого социально экономического развития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осуществлялась деятельность, направленная на увеличение доходной части бюджета, на усиление контроля над эффективным расходованием бюджетных средств;</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проводилась работа с гражданами на погашение недоимки по налоговым платежам;</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велась работа с населением по вопросу оформления прав на домовладения и земельные участки под ЛПХ, так как у многих документы не оформлены или их просто нет, или старого образца. В силу действующего законодательства документы на недвижимость должны быть оформлены надлежащим образом.</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r w:rsidRPr="00097203">
        <w:rPr>
          <w:rFonts w:ascii="Times New Roman" w:eastAsia="Times New Roman" w:hAnsi="Times New Roman" w:cs="Times New Roman"/>
          <w:color w:val="1C1C1C"/>
          <w:sz w:val="17"/>
          <w:szCs w:val="17"/>
          <w:lang w:eastAsia="ru-RU"/>
        </w:rPr>
        <w:t>На заседаниях СД обсуждаются как глобальные, так                                                      и касающиеся небольшой группы людей, а иногда и вопросы одного человека.</w:t>
      </w:r>
      <w:r w:rsidRPr="00097203">
        <w:rPr>
          <w:rFonts w:ascii="Times New Roman" w:eastAsia="Times New Roman" w:hAnsi="Times New Roman" w:cs="Times New Roman"/>
          <w:color w:val="212121"/>
          <w:sz w:val="17"/>
          <w:szCs w:val="17"/>
          <w:lang w:eastAsia="ru-RU"/>
        </w:rPr>
        <w:t> Общественная работа с населением проводится с участием общественных формирований, депутатского корпуса, специалистов администрации, работа ведется через собрания граждан, личные беседы. </w:t>
      </w:r>
      <w:r w:rsidRPr="00097203">
        <w:rPr>
          <w:rFonts w:ascii="Times New Roman" w:eastAsia="Times New Roman" w:hAnsi="Times New Roman" w:cs="Times New Roman"/>
          <w:color w:val="1C1C1C"/>
          <w:sz w:val="17"/>
          <w:szCs w:val="17"/>
          <w:lang w:eastAsia="ru-RU"/>
        </w:rPr>
        <w:t>Население обращается за помощью к депутатам прямо на их рабочих местах, на улице, что делает работу депутатского корпуса более эффективной. Взаимодействие депутатов и администрации носит конструктивный характер, направленный на улучшение жизни населения.</w:t>
      </w:r>
      <w:r w:rsidRPr="00097203">
        <w:rPr>
          <w:rFonts w:ascii="Times New Roman" w:eastAsia="Times New Roman" w:hAnsi="Times New Roman" w:cs="Times New Roman"/>
          <w:color w:val="1C1C1C"/>
          <w:sz w:val="17"/>
          <w:szCs w:val="17"/>
          <w:lang w:eastAsia="ru-RU"/>
        </w:rPr>
        <w:br/>
      </w:r>
      <w:r w:rsidRPr="00097203">
        <w:rPr>
          <w:rFonts w:ascii="Times New Roman" w:eastAsia="Times New Roman" w:hAnsi="Times New Roman" w:cs="Times New Roman"/>
          <w:color w:val="212121"/>
          <w:sz w:val="17"/>
          <w:szCs w:val="17"/>
          <w:lang w:eastAsia="ru-RU"/>
        </w:rPr>
        <w:t>          Но активность нашего населения в решении проблем поселения оставляет желать лучшего, почему- то считают, что кто-то должен все решить и исполнить.</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Благоустройство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Одним из самых актуальных вопросов был и остается вопрос благоустройства территории. Любой человек, приезжающий в сельское поселение, прежде всего, обращает внимание на чистоту и порядок, состояние дорог, освещение и общий архитектурный вид. Не могу обойти вниманием и традиционные общественные инициативы, которые не требуют огромных финансовых затрат, они требуют только физического участия жителей, но тем не менее, способны буквально преобразить наше поселение. Одним из направлений деятельности администрации сельского поселения являются вопросы санитарного состояния и благоустройства населенных пунктов. Ежегодно, весной на территории нашего поселения проводятся декады по благоустройству. Все трудовые коллективы организуют и проводят уборку территории своих учреждений.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В рамках месячника по благоустройству прошли субботники жителей по благоустройству, наведению чистоты и порядка.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Был выполнен огромный объем работы по благоустройству территории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К празднованию Победы в Великой Отечественной войне проводились благоустроительные работы братской могилы в д.Мошарово, силами общественности убиралась территория, прилегающая к памятнику.</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Силами депутатского корпуса, работников администрации и культуры, неравнодушных жителей поддерживались в надлежащем состоянии места общего пользования (окашивание, подрезка кустарников, высадка цветов), также была проведена покраска ограждения детской площадки возле сельского Дома культуры в д.Михальчуково и элементы детской площадки, лавочки в д.Радюкино. Проводились субботники по наведению порядка на кладбище.</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За отчетный год благоустроено 3 контейнерных площадки и установлена 1 дополнительная в д.Михальчуково.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Остаются нерешенными проблемы с безнадзорными собаками. С нерадивыми хозяевами проводятся беседы с предупреждениями, но этого не достаточно, нужно наказывать.</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Для решения проблем благоустройства требуется отлаженная система и рутинная работа,  но все же заботу о чистоте, должны проявлять сами жители. Поселение – наш дом, поэтому долг каждого жителя думать о будущем и не загрязнять территорию бытовыми отходами. </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Проблемы благоустройства — это не только финансы, но и человеческий фактор.  Казалось, что может быть проще. Мы- все жители одного сельского поселения, любим и хотим, чтобы в каждом населенном пункте было еще лучше, чище. Но, к сожалению, у каждого свои подходы к решению этого вопроса. Кто-то борется за чистоту и порядок, вкладывая свой труд и средства, а кто-то словами и лозунгами «нам должны».</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В планах на 2022 год продолжить работу по благоустройству в том же направлении.</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Жилищно - коммунальное хозяйство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Наряду с вопросами благоустройства вопросы жилищно-коммунального хозяйства являются не менее актуальными.</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освещение улиц, состояние дорог.</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Решение, а точнее качество решения этих проблем является важнейшей и очень сложной задачей, которую несмотря, ни на что продолжает решать администрация.</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Пожарная безопасность</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Администрацией сельского поселения «Деревня Михальчуково» утверждено постановление №35 от 15.11.2019 «Об утверждении муниципальной программы «Безопасность жизнедеятельности на территории сельского поселении «Деревня Михальчуково» на 2020-2026 годы»</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В рамках программы выполнялся целый ряд мероприятий:</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была организована и проводилась работа по выдаче памяток населению о соблюдении мер пожарной безопасности, беседы, встречи, поднимается вопрос на собраниях граждан;</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проводится ежегодно проверка состояния пожарных гидрантов;</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в весенний и осенний периоды обновлялись минерализованные полосы в в населенных пунктах близко граничащих с лесными массивами.</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Общественная организация ДПД, возглавляемая Меркуловым В.А. держит ситуацию в весенне-летний пожароопасный период на постоянном контроле. Оперативно выезжают на пожары и палы травы и отлично справляются со всеми задачами.</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Дорожный фонд</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         Активно проводилась работа по совершенствованию улично-дорожной сети. В поселении отгрейдировано, отсыпано щебнем 13 км. дорог. Расходы дорожного фонда составили 1 052 500 рублей 00 копеек.             </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b/>
          <w:bCs/>
          <w:color w:val="212121"/>
          <w:sz w:val="17"/>
          <w:szCs w:val="17"/>
          <w:lang w:eastAsia="ru-RU"/>
        </w:rPr>
        <w:t>Задачи на 2022 год</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1.     Благоустройство населенных пунктов (ликвидация стихийных свалок, борьба с борщевиком, уличное освещение).</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2.     Участие в реализации программы поддержки местных инициатив                                                                                                             установить освещение в д.Михальчуково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3.     Участие в программе по приобретению теплообменников для котельной в д.Радюкино.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4.     Замена уличных светильников на более экономичные, светодиодные.</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5.     Повышение безопасности  дорожного движения - это ямочный ремонт,  подсыпка щебнем и грейдерование дорог, поддерживание внутрипоселенческих дорог в удовлетворительном состоянии за счет средств дорожного фонда</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sz w:val="17"/>
          <w:szCs w:val="17"/>
          <w:lang w:eastAsia="ru-RU"/>
        </w:rPr>
        <w:t>6.     </w:t>
      </w:r>
      <w:r w:rsidRPr="00097203">
        <w:rPr>
          <w:rFonts w:ascii="Times New Roman" w:eastAsia="Times New Roman" w:hAnsi="Times New Roman" w:cs="Times New Roman"/>
          <w:color w:val="212121"/>
          <w:sz w:val="17"/>
          <w:szCs w:val="17"/>
          <w:lang w:eastAsia="ru-RU"/>
        </w:rPr>
        <w:t>Благоустройство и доукомплектация детских площадок;</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sz w:val="17"/>
          <w:szCs w:val="17"/>
          <w:lang w:eastAsia="ru-RU"/>
        </w:rPr>
        <w:t>7.     </w:t>
      </w:r>
      <w:r w:rsidRPr="00097203">
        <w:rPr>
          <w:rFonts w:ascii="Times New Roman" w:eastAsia="Times New Roman" w:hAnsi="Times New Roman" w:cs="Times New Roman"/>
          <w:color w:val="212121"/>
          <w:sz w:val="17"/>
          <w:szCs w:val="17"/>
          <w:lang w:eastAsia="ru-RU"/>
        </w:rPr>
        <w:t>Реализовать комплекс мер, направленных на обеспечение противопожарной безопасности населения;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sz w:val="17"/>
          <w:szCs w:val="17"/>
          <w:lang w:eastAsia="ru-RU"/>
        </w:rPr>
        <w:t>8.     </w:t>
      </w:r>
      <w:r w:rsidRPr="00097203">
        <w:rPr>
          <w:rFonts w:ascii="Times New Roman" w:eastAsia="Times New Roman" w:hAnsi="Times New Roman" w:cs="Times New Roman"/>
          <w:color w:val="212121"/>
          <w:sz w:val="17"/>
          <w:szCs w:val="17"/>
          <w:lang w:eastAsia="ru-RU"/>
        </w:rPr>
        <w:t>Устройство ТБО площадки в д.Корнеево;</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sz w:val="17"/>
          <w:szCs w:val="17"/>
          <w:lang w:eastAsia="ru-RU"/>
        </w:rPr>
        <w:t>9.     </w:t>
      </w:r>
      <w:r w:rsidRPr="00097203">
        <w:rPr>
          <w:rFonts w:ascii="Times New Roman" w:eastAsia="Times New Roman" w:hAnsi="Times New Roman" w:cs="Times New Roman"/>
          <w:color w:val="212121"/>
          <w:sz w:val="17"/>
          <w:szCs w:val="17"/>
          <w:lang w:eastAsia="ru-RU"/>
        </w:rPr>
        <w:t>Проводить дальнейшую работу по максимальному привлечению доходов   в бюджет поселения.</w:t>
      </w:r>
    </w:p>
    <w:p w:rsidR="00097203" w:rsidRPr="00097203" w:rsidRDefault="00097203" w:rsidP="00097203">
      <w:pPr>
        <w:shd w:val="clear" w:color="auto" w:fill="FFFFFF"/>
        <w:spacing w:after="100" w:afterAutospacing="1" w:line="240" w:lineRule="auto"/>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В заключении позвольте мне выразить благодарность нашему депутатскому корпусу и всем жителям нашего поселения за работу и помощь, за активную жизненную позицию всех, кто неравнодушен к судьбе нашего поселения, кто помогает своим участием создавать достойную и комфортную жизнь. Желаю вам всем крепкого здоровья, семейного благополучия, чистого, мирного неба над головой, удачи во всем, простого человеческого счастья.</w:t>
      </w:r>
    </w:p>
    <w:p w:rsidR="00097203" w:rsidRPr="00097203" w:rsidRDefault="00097203" w:rsidP="00097203">
      <w:pPr>
        <w:shd w:val="clear" w:color="auto" w:fill="FFFFFF"/>
        <w:spacing w:after="100" w:afterAutospacing="1" w:line="240" w:lineRule="auto"/>
        <w:jc w:val="center"/>
        <w:rPr>
          <w:rFonts w:ascii="Times New Roman" w:eastAsia="Times New Roman" w:hAnsi="Times New Roman" w:cs="Times New Roman"/>
          <w:color w:val="212121"/>
          <w:sz w:val="17"/>
          <w:szCs w:val="17"/>
          <w:lang w:eastAsia="ru-RU"/>
        </w:rPr>
      </w:pPr>
      <w:r w:rsidRPr="00097203">
        <w:rPr>
          <w:rFonts w:ascii="Times New Roman" w:eastAsia="Times New Roman" w:hAnsi="Times New Roman" w:cs="Times New Roman"/>
          <w:color w:val="212121"/>
          <w:sz w:val="17"/>
          <w:szCs w:val="17"/>
          <w:lang w:eastAsia="ru-RU"/>
        </w:rPr>
        <w:t>Благодарю Вас за внимание!</w:t>
      </w:r>
    </w:p>
    <w:p w:rsidR="009F6108" w:rsidRDefault="009F6108"/>
    <w:sectPr w:rsidR="009F6108" w:rsidSect="009F61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08"/>
  <w:characterSpacingControl w:val="doNotCompress"/>
  <w:compat/>
  <w:rsids>
    <w:rsidRoot w:val="00097203"/>
    <w:rsid w:val="00097203"/>
    <w:rsid w:val="007D641A"/>
    <w:rsid w:val="009F6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72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243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2483</Words>
  <Characters>14155</Characters>
  <Application>Microsoft Office Word</Application>
  <DocSecurity>0</DocSecurity>
  <Lines>117</Lines>
  <Paragraphs>33</Paragraphs>
  <ScaleCrop>false</ScaleCrop>
  <Company>Microsoft</Company>
  <LinksUpToDate>false</LinksUpToDate>
  <CharactersWithSpaces>16605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2023-05-24T06:11:00Z</dcterms:created>
  <dcterms:modified xsi:type="dcterms:W3CDTF">2023-05-24T06:11:00Z</dcterms:modified>
</cp:coreProperties>
</file>