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55" w:rsidRDefault="009312D9" w:rsidP="001B6199">
      <w:pPr>
        <w:pStyle w:val="a3"/>
        <w:numPr>
          <w:ilvl w:val="0"/>
          <w:numId w:val="1"/>
        </w:numPr>
        <w:spacing w:after="80" w:line="259" w:lineRule="auto"/>
        <w:jc w:val="right"/>
      </w:pPr>
      <w:r>
        <w:t>Новое в законодательстве на 04.04.2024</w:t>
      </w:r>
    </w:p>
    <w:p w:rsidR="00AE6155" w:rsidRDefault="009312D9" w:rsidP="001B6199">
      <w:pPr>
        <w:pStyle w:val="a3"/>
        <w:numPr>
          <w:ilvl w:val="0"/>
          <w:numId w:val="1"/>
        </w:numPr>
        <w:spacing w:after="33" w:line="253" w:lineRule="auto"/>
        <w:ind w:right="513"/>
      </w:pPr>
      <w:r w:rsidRPr="001B6199">
        <w:rPr>
          <w:sz w:val="30"/>
        </w:rPr>
        <w:t>Распоряжение Правительства Российской Федерации от 29 марта 2024 г.</w:t>
      </w:r>
      <w:r w:rsidR="001B6199">
        <w:rPr>
          <w:sz w:val="30"/>
        </w:rPr>
        <w:t xml:space="preserve"> №</w:t>
      </w:r>
      <w:r w:rsidRPr="001B6199">
        <w:rPr>
          <w:sz w:val="30"/>
        </w:rPr>
        <w:t xml:space="preserve"> 744-р</w:t>
      </w:r>
    </w:p>
    <w:p w:rsidR="00AE6155" w:rsidRPr="001B6199" w:rsidRDefault="009312D9">
      <w:pPr>
        <w:spacing w:line="253" w:lineRule="auto"/>
        <w:ind w:left="898" w:right="513" w:hanging="5"/>
        <w:rPr>
          <w:b/>
        </w:rPr>
      </w:pPr>
      <w:r w:rsidRPr="001B6199">
        <w:rPr>
          <w:b/>
          <w:sz w:val="30"/>
        </w:rPr>
        <w:t>Р</w:t>
      </w:r>
      <w:r w:rsidRPr="001B6199">
        <w:rPr>
          <w:b/>
          <w:sz w:val="30"/>
        </w:rPr>
        <w:t xml:space="preserve">ешено засекретить некоторые виды </w:t>
      </w:r>
      <w:proofErr w:type="spellStart"/>
      <w:r w:rsidRPr="001B6199">
        <w:rPr>
          <w:b/>
          <w:sz w:val="30"/>
        </w:rPr>
        <w:t>госзакупок</w:t>
      </w:r>
      <w:proofErr w:type="spellEnd"/>
      <w:r w:rsidRPr="001B6199">
        <w:rPr>
          <w:b/>
          <w:sz w:val="30"/>
        </w:rPr>
        <w:t>.</w:t>
      </w:r>
    </w:p>
    <w:p w:rsidR="00AE6155" w:rsidRDefault="009312D9">
      <w:pPr>
        <w:spacing w:after="33"/>
        <w:ind w:left="182" w:right="513"/>
      </w:pPr>
      <w:r>
        <w:t>Правительство установило, информация о каких закупках не размещается на сайте ГЕИС.</w:t>
      </w:r>
    </w:p>
    <w:p w:rsidR="00AE6155" w:rsidRDefault="009312D9">
      <w:pPr>
        <w:spacing w:after="325"/>
        <w:ind w:left="182" w:right="513"/>
      </w:pPr>
      <w:r>
        <w:t>Утратил силу перечень товаров, работ, услуг в сфере космической деятельности, сведения о закупках,</w:t>
      </w:r>
      <w:r>
        <w:t xml:space="preserve"> которых не размещаются в ЕИС в сфере закупок.</w:t>
      </w:r>
    </w:p>
    <w:p w:rsidR="00AE6155" w:rsidRPr="001B6199" w:rsidRDefault="009312D9" w:rsidP="001B6199">
      <w:pPr>
        <w:spacing w:line="253" w:lineRule="auto"/>
        <w:ind w:left="879" w:right="513" w:hanging="5"/>
        <w:rPr>
          <w:b/>
        </w:rPr>
      </w:pPr>
      <w:r w:rsidRPr="001B6199">
        <w:rPr>
          <w:b/>
          <w:sz w:val="30"/>
        </w:rPr>
        <w:t xml:space="preserve">Постановление Правительства </w:t>
      </w:r>
      <w:r w:rsidRPr="001B6199">
        <w:rPr>
          <w:b/>
          <w:sz w:val="30"/>
        </w:rPr>
        <w:t>Российской Федерации от 30 марта</w:t>
      </w:r>
      <w:r w:rsidRPr="001B6199">
        <w:rPr>
          <w:b/>
          <w:noProof/>
        </w:rPr>
        <w:drawing>
          <wp:inline distT="0" distB="0" distL="0" distR="0">
            <wp:extent cx="3049" cy="3048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 xml:space="preserve">2024 г. </w:t>
      </w:r>
      <w:r w:rsidR="001B6199">
        <w:rPr>
          <w:b/>
          <w:sz w:val="30"/>
        </w:rPr>
        <w:t>№</w:t>
      </w:r>
      <w:r w:rsidRPr="001B6199">
        <w:rPr>
          <w:b/>
          <w:sz w:val="30"/>
        </w:rPr>
        <w:t>399 ”</w:t>
      </w:r>
      <w:r w:rsidR="001B6199">
        <w:rPr>
          <w:b/>
          <w:sz w:val="30"/>
        </w:rPr>
        <w:t>О</w:t>
      </w:r>
      <w:r w:rsidRPr="001B6199">
        <w:rPr>
          <w:b/>
          <w:sz w:val="30"/>
        </w:rPr>
        <w:t xml:space="preserve"> внесении изменений в постановление Правительства </w:t>
      </w:r>
      <w:r w:rsidRPr="001B6199">
        <w:rPr>
          <w:b/>
          <w:noProof/>
        </w:rPr>
        <w:drawing>
          <wp:inline distT="0" distB="0" distL="0" distR="0">
            <wp:extent cx="3049" cy="3049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noProof/>
        </w:rPr>
        <w:drawing>
          <wp:inline distT="0" distB="0" distL="0" distR="0">
            <wp:extent cx="3049" cy="3049"/>
            <wp:effectExtent l="0" t="0" r="0" b="0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>Российской Федерации от 10 марта 2022 г. N 339”</w:t>
      </w:r>
    </w:p>
    <w:p w:rsidR="00AE6155" w:rsidRPr="001B6199" w:rsidRDefault="009312D9">
      <w:pPr>
        <w:spacing w:line="253" w:lineRule="auto"/>
        <w:ind w:left="879" w:right="513" w:hanging="5"/>
        <w:rPr>
          <w:b/>
        </w:rPr>
      </w:pPr>
      <w:r w:rsidRPr="001B6199">
        <w:rPr>
          <w:b/>
          <w:sz w:val="30"/>
        </w:rPr>
        <w:t>Расширен перечень особых случаев закупок у единственного</w:t>
      </w:r>
    </w:p>
    <w:p w:rsidR="00AE6155" w:rsidRPr="001B6199" w:rsidRDefault="009312D9">
      <w:pPr>
        <w:spacing w:line="253" w:lineRule="auto"/>
        <w:ind w:left="187" w:right="513" w:hanging="5"/>
        <w:rPr>
          <w:b/>
        </w:rPr>
      </w:pPr>
      <w:r w:rsidRPr="001B6199">
        <w:rPr>
          <w:b/>
          <w:sz w:val="30"/>
        </w:rPr>
        <w:t>поставщика.</w:t>
      </w:r>
    </w:p>
    <w:p w:rsidR="00AE6155" w:rsidRDefault="009312D9">
      <w:pPr>
        <w:ind w:left="182" w:right="513"/>
      </w:pPr>
      <w:r>
        <w:t>Скорректирован перечень дополнительных</w:t>
      </w:r>
      <w:r>
        <w:t xml:space="preserve"> оснований для закупки у единственного поставщика (подрядчика, исполнителя).</w:t>
      </w:r>
    </w:p>
    <w:p w:rsidR="00AE6155" w:rsidRDefault="009312D9">
      <w:pPr>
        <w:spacing w:after="325"/>
        <w:ind w:left="182" w:right="513"/>
      </w:pPr>
      <w:r>
        <w:t xml:space="preserve">В частности, внесены закупки для выполнения мероприятий по ГО, для восстановления объектов, поврежденных из-за боевых действий.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Постановление вступает в силу со дня опубликования. Контракты </w:t>
      </w:r>
      <w:proofErr w:type="spellStart"/>
      <w:r>
        <w:t>попрежнему</w:t>
      </w:r>
      <w:proofErr w:type="spellEnd"/>
      <w:r>
        <w:t xml:space="preserve"> нужно заключить не позднее 31 декабря 2024 г.</w:t>
      </w:r>
    </w:p>
    <w:p w:rsidR="00AE6155" w:rsidRPr="001B6199" w:rsidRDefault="009312D9">
      <w:pPr>
        <w:spacing w:line="253" w:lineRule="auto"/>
        <w:ind w:left="182" w:right="513" w:firstLine="682"/>
        <w:rPr>
          <w:b/>
        </w:rPr>
      </w:pPr>
      <w:r w:rsidRPr="001B6199">
        <w:rPr>
          <w:b/>
          <w:sz w:val="30"/>
        </w:rPr>
        <w:t xml:space="preserve">Приказ МВД России от 5 марта 2024 г N 90 внесении изменений в Административный регламент Министерства внутренних дел </w:t>
      </w:r>
      <w:r w:rsidRPr="001B6199">
        <w:rPr>
          <w:b/>
          <w:noProof/>
        </w:rPr>
        <w:drawing>
          <wp:inline distT="0" distB="0" distL="0" distR="0">
            <wp:extent cx="3049" cy="115846"/>
            <wp:effectExtent l="0" t="0" r="0" b="0"/>
            <wp:docPr id="8541" name="Picture 8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" name="Picture 8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1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>Российской Федераци</w:t>
      </w:r>
      <w:r w:rsidRPr="001B6199">
        <w:rPr>
          <w:b/>
          <w:sz w:val="30"/>
        </w:rPr>
        <w:t>и по предоставлению государственной услуги по проведению экзаменов на право управления транспортными средствами и выдаче водительских удостоверений, утвержденный приказом МВД России от 20 февраля 2021 г. N 80”</w:t>
      </w:r>
    </w:p>
    <w:p w:rsidR="00AE6155" w:rsidRPr="001B6199" w:rsidRDefault="009312D9">
      <w:pPr>
        <w:spacing w:line="253" w:lineRule="auto"/>
        <w:ind w:left="869" w:right="513" w:hanging="5"/>
        <w:rPr>
          <w:b/>
        </w:rPr>
      </w:pPr>
      <w:r w:rsidRPr="001B6199">
        <w:rPr>
          <w:b/>
          <w:sz w:val="30"/>
        </w:rPr>
        <w:t>С 1 апреля меняются правила получения водитель</w:t>
      </w:r>
      <w:r w:rsidRPr="001B6199">
        <w:rPr>
          <w:b/>
          <w:sz w:val="30"/>
        </w:rPr>
        <w:t>ского</w:t>
      </w:r>
      <w:r w:rsidRPr="001B6199">
        <w:rPr>
          <w:b/>
          <w:noProof/>
        </w:rPr>
        <w:drawing>
          <wp:inline distT="0" distB="0" distL="0" distR="0">
            <wp:extent cx="3049" cy="64020"/>
            <wp:effectExtent l="0" t="0" r="0" b="0"/>
            <wp:docPr id="8543" name="Picture 8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" name="Picture 85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55" w:rsidRPr="001B6199" w:rsidRDefault="009312D9">
      <w:pPr>
        <w:spacing w:line="253" w:lineRule="auto"/>
        <w:ind w:left="187" w:right="513" w:hanging="5"/>
        <w:rPr>
          <w:b/>
        </w:rPr>
      </w:pPr>
      <w:r w:rsidRPr="001B6199">
        <w:rPr>
          <w:b/>
          <w:sz w:val="30"/>
        </w:rPr>
        <w:t>удостоверения.</w:t>
      </w:r>
    </w:p>
    <w:p w:rsidR="00AE6155" w:rsidRDefault="009312D9">
      <w:pPr>
        <w:ind w:left="182" w:right="513"/>
      </w:pPr>
      <w:r>
        <w:t xml:space="preserve">Скорректирован административный регламент по проведению экзаменов на право управления транспортными средствами и выдаче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99">
        <w:t>водительских</w:t>
      </w:r>
      <w:r>
        <w:t xml:space="preserve"> удостоверений. Это обусловлено изменением Закона о безопасности дорожного движения.</w:t>
      </w:r>
    </w:p>
    <w:p w:rsidR="00AE6155" w:rsidRDefault="009312D9">
      <w:pPr>
        <w:ind w:left="182" w:right="513"/>
      </w:pPr>
      <w:r>
        <w:t>Закреплена возмо</w:t>
      </w:r>
      <w:r>
        <w:t xml:space="preserve">жность участия МФЦ в предоставления </w:t>
      </w:r>
      <w:proofErr w:type="spellStart"/>
      <w:r>
        <w:t>госуслуги</w:t>
      </w:r>
      <w:proofErr w:type="spellEnd"/>
      <w:r>
        <w:t xml:space="preserve"> при наличии соглашения о взаимодействии между центром и региональным </w:t>
      </w:r>
      <w:r w:rsidR="001B6199">
        <w:t>органе</w:t>
      </w:r>
      <w:r>
        <w:rPr>
          <w:vertAlign w:val="superscript"/>
        </w:rPr>
        <w:t xml:space="preserve"> </w:t>
      </w:r>
      <w:r>
        <w:t>МВД.</w:t>
      </w:r>
    </w:p>
    <w:p w:rsidR="00AE6155" w:rsidRDefault="009312D9">
      <w:pPr>
        <w:ind w:left="182" w:right="513"/>
      </w:pPr>
      <w:r>
        <w:t xml:space="preserve">Результат </w:t>
      </w:r>
      <w:proofErr w:type="spellStart"/>
      <w:r>
        <w:t>госуслуги</w:t>
      </w:r>
      <w:proofErr w:type="spellEnd"/>
      <w:r>
        <w:t xml:space="preserve"> может быть получен в экзаменационном подразделении или в МФЦ. Также он направляется в личный кабинет заявит</w:t>
      </w:r>
      <w:r>
        <w:t xml:space="preserve">еля на Едином портале </w:t>
      </w:r>
      <w:proofErr w:type="spellStart"/>
      <w:r>
        <w:t>госуслуг</w:t>
      </w:r>
      <w:proofErr w:type="spellEnd"/>
      <w:r>
        <w:t>.</w:t>
      </w:r>
    </w:p>
    <w:p w:rsidR="00AE6155" w:rsidRDefault="009312D9">
      <w:pPr>
        <w:ind w:left="874" w:right="513" w:firstLine="0"/>
      </w:pPr>
      <w:r>
        <w:t xml:space="preserve">Установлены основания для приостановления оказания </w:t>
      </w:r>
      <w:proofErr w:type="spellStart"/>
      <w:r>
        <w:t>госуслуги</w:t>
      </w:r>
      <w:proofErr w:type="spellEnd"/>
      <w:r>
        <w:t>.</w:t>
      </w:r>
    </w:p>
    <w:p w:rsidR="00AE6155" w:rsidRDefault="009312D9">
      <w:pPr>
        <w:ind w:left="182" w:right="513"/>
      </w:pPr>
      <w:r>
        <w:lastRenderedPageBreak/>
        <w:t>Расширены основания для отказа в ее предоставлении</w:t>
      </w:r>
      <w:r w:rsidR="001B6199">
        <w:t>.</w:t>
      </w:r>
      <w:r>
        <w:t xml:space="preserve"> Это</w:t>
      </w:r>
      <w:r w:rsidR="001B6199">
        <w:t xml:space="preserve"> </w:t>
      </w:r>
      <w:r>
        <w:t>в т. ч. лишение заявителя права заниматься деятельностью, непосредственно связанной с управлением ТС, а та</w:t>
      </w:r>
      <w:r>
        <w:t xml:space="preserve">кже отсутствие у автошколы в период </w:t>
      </w:r>
      <w:r>
        <w:t>обучения кандидата в водители заключения о соответствии ее учебно</w:t>
      </w:r>
      <w:r w:rsidR="001B6199">
        <w:t>-</w:t>
      </w:r>
      <w:r>
        <w:t xml:space="preserve">материальной </w:t>
      </w:r>
      <w:r w:rsidR="001B6199">
        <w:t>базы</w:t>
      </w:r>
      <w:r>
        <w:t xml:space="preserve"> установленным требованиям. Отказ последует и в том случае, если заявитель подвергнут </w:t>
      </w:r>
      <w:r w:rsidR="001B6199">
        <w:t>административному</w:t>
      </w:r>
      <w:r>
        <w:t xml:space="preserve"> наказанию за пьяное вождение, а та</w:t>
      </w:r>
      <w:r>
        <w:t>кже за невыполнение требования о прохождении мед</w:t>
      </w:r>
      <w:r w:rsidR="001B6199">
        <w:t>ицинского осви</w:t>
      </w:r>
      <w:r>
        <w:t xml:space="preserve">детельствования или о запрещении водителю употреблять алкоголь, наркотики и </w:t>
      </w:r>
      <w:proofErr w:type="spellStart"/>
      <w:r w:rsidR="001B6199">
        <w:t>психотропы</w:t>
      </w:r>
      <w:proofErr w:type="spellEnd"/>
      <w:r>
        <w:t xml:space="preserve"> и не имеет при этом права на управление ТС или лишен </w:t>
      </w:r>
      <w:r w:rsidR="001B6199">
        <w:t>этого права.</w:t>
      </w:r>
    </w:p>
    <w:p w:rsidR="00AE6155" w:rsidRDefault="009312D9">
      <w:pPr>
        <w:ind w:left="10" w:right="513"/>
      </w:pPr>
      <w:r>
        <w:t>Пересмотрены показатели качества и доступности пре</w:t>
      </w:r>
      <w:r>
        <w:t xml:space="preserve">доставления </w:t>
      </w:r>
      <w:proofErr w:type="spellStart"/>
      <w:r>
        <w:t>госуслуги</w:t>
      </w:r>
      <w:proofErr w:type="spellEnd"/>
      <w:r>
        <w:t>.</w:t>
      </w:r>
    </w:p>
    <w:p w:rsidR="00AE6155" w:rsidRDefault="009312D9">
      <w:pPr>
        <w:ind w:left="10" w:right="513"/>
      </w:pPr>
      <w:r>
        <w:t>Часть поправок касается выдачи российского водительского удостоверения на основании иностранного.</w:t>
      </w:r>
    </w:p>
    <w:p w:rsidR="00AE6155" w:rsidRDefault="009312D9">
      <w:pPr>
        <w:ind w:left="701" w:right="513" w:firstLine="0"/>
      </w:pPr>
      <w:r>
        <w:t>Уточнена процедура сдачи экзамена.</w:t>
      </w:r>
    </w:p>
    <w:p w:rsidR="00AE6155" w:rsidRDefault="009312D9">
      <w:pPr>
        <w:spacing w:after="303"/>
        <w:ind w:left="691" w:right="513" w:firstLine="0"/>
      </w:pPr>
      <w:r>
        <w:t>Приказ вступает в силу с</w:t>
      </w:r>
      <w:r w:rsidR="001B6199">
        <w:t xml:space="preserve"> 1</w:t>
      </w:r>
      <w:r>
        <w:t xml:space="preserve"> апреля 2024 г.</w:t>
      </w:r>
    </w:p>
    <w:p w:rsidR="00AE6155" w:rsidRPr="001B6199" w:rsidRDefault="009312D9">
      <w:pPr>
        <w:spacing w:line="253" w:lineRule="auto"/>
        <w:ind w:left="10" w:right="605"/>
        <w:rPr>
          <w:b/>
        </w:rPr>
      </w:pPr>
      <w:r w:rsidRPr="001B6199">
        <w:rPr>
          <w:b/>
          <w:sz w:val="30"/>
        </w:rPr>
        <w:t xml:space="preserve">Постановление Конституционного Суда Российской Федерации от 2 </w:t>
      </w:r>
      <w:r w:rsidRPr="001B6199">
        <w:rPr>
          <w:b/>
          <w:noProof/>
        </w:rPr>
        <w:drawing>
          <wp:inline distT="0" distB="0" distL="0" distR="0">
            <wp:extent cx="6097" cy="15242"/>
            <wp:effectExtent l="0" t="0" r="0" b="0"/>
            <wp:docPr id="8551" name="Picture 8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" name="Picture 85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 xml:space="preserve">апреля 2024 г. N 14-П ”По делу о проверке конституционности части 2 </w:t>
      </w:r>
      <w:r w:rsidRPr="001B6199">
        <w:rPr>
          <w:b/>
          <w:noProof/>
        </w:rPr>
        <w:drawing>
          <wp:inline distT="0" distB="0" distL="0" distR="0">
            <wp:extent cx="6097" cy="76207"/>
            <wp:effectExtent l="0" t="0" r="0" b="0"/>
            <wp:docPr id="8553" name="Picture 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" name="Picture 85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>статьи 1.7, части 5 статьи 4.4, части 1 статьи 15.25, пункта 2 статьи 31.7, статьи 31.8 Кодекса Российской Федерации об адми</w:t>
      </w:r>
      <w:r w:rsidRPr="001B6199">
        <w:rPr>
          <w:b/>
          <w:sz w:val="30"/>
        </w:rPr>
        <w:t xml:space="preserve">нистративных </w:t>
      </w:r>
      <w:r w:rsidRPr="001B6199">
        <w:rPr>
          <w:b/>
          <w:noProof/>
        </w:rPr>
        <w:drawing>
          <wp:inline distT="0" distB="0" distL="0" distR="0">
            <wp:extent cx="45732" cy="21338"/>
            <wp:effectExtent l="0" t="0" r="0" b="0"/>
            <wp:docPr id="8555" name="Picture 8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" name="Picture 85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 xml:space="preserve">правонарушениях и статьи 260 Арбитражного процессуального кодекса Российской Федерации в связи с жалобами общества с ограниченной </w:t>
      </w:r>
      <w:r w:rsidRPr="001B6199">
        <w:rPr>
          <w:b/>
          <w:noProof/>
        </w:rPr>
        <w:drawing>
          <wp:inline distT="0" distB="0" distL="0" distR="0">
            <wp:extent cx="3049" cy="27435"/>
            <wp:effectExtent l="0" t="0" r="0" b="0"/>
            <wp:docPr id="8557" name="Picture 8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" name="Picture 85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 xml:space="preserve">ответственностью ” Воплощение“ и общества с ограниченной </w:t>
      </w:r>
      <w:r w:rsidRPr="001B6199">
        <w:rPr>
          <w:b/>
          <w:noProof/>
        </w:rPr>
        <w:drawing>
          <wp:inline distT="0" distB="0" distL="0" distR="0">
            <wp:extent cx="6098" cy="103642"/>
            <wp:effectExtent l="0" t="0" r="0" b="0"/>
            <wp:docPr id="8559" name="Picture 8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" name="Picture 85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199">
        <w:rPr>
          <w:b/>
          <w:sz w:val="30"/>
        </w:rPr>
        <w:t>ответственностью ”СИБТЕК”</w:t>
      </w:r>
    </w:p>
    <w:p w:rsidR="00AE6155" w:rsidRPr="001B6199" w:rsidRDefault="009312D9">
      <w:pPr>
        <w:spacing w:line="253" w:lineRule="auto"/>
        <w:ind w:left="14" w:right="667"/>
        <w:rPr>
          <w:b/>
        </w:rPr>
      </w:pPr>
      <w:r w:rsidRPr="001B6199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774404</wp:posOffset>
            </wp:positionH>
            <wp:positionV relativeFrom="page">
              <wp:posOffset>835232</wp:posOffset>
            </wp:positionV>
            <wp:extent cx="3049" cy="3048"/>
            <wp:effectExtent l="0" t="0" r="0" b="0"/>
            <wp:wrapSquare wrapText="bothSides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199">
        <w:rPr>
          <w:b/>
          <w:sz w:val="30"/>
        </w:rPr>
        <w:t>КС разъяснил, почему норма</w:t>
      </w:r>
      <w:r w:rsidRPr="001B6199">
        <w:rPr>
          <w:b/>
          <w:sz w:val="30"/>
        </w:rPr>
        <w:t xml:space="preserve"> об однократном наказании за однотипные нарушения имеет обратную силу, даже если не влияет на размер штрафа.</w:t>
      </w:r>
    </w:p>
    <w:p w:rsidR="00AE6155" w:rsidRDefault="009312D9">
      <w:pPr>
        <w:spacing w:after="61"/>
        <w:ind w:left="24" w:right="513"/>
      </w:pPr>
      <w:r>
        <w:t xml:space="preserve">Юридических лиц оштрафовали за неоднократную выдачу зарплаты </w:t>
      </w:r>
      <w:r w:rsidR="001B6199">
        <w:t>наличной</w:t>
      </w:r>
      <w:r>
        <w:t xml:space="preserve"> валютой работникам-нерезидентам. В рамках одной проверки по</w:t>
      </w:r>
    </w:p>
    <w:p w:rsidR="00AE6155" w:rsidRDefault="009312D9">
      <w:pPr>
        <w:ind w:left="24" w:right="513" w:firstLine="0"/>
      </w:pPr>
      <w:r>
        <w:t>каждому случаю в</w:t>
      </w:r>
      <w:r>
        <w:t>ынесено отдельное постановление и назначен самостоятельный штраф.</w:t>
      </w:r>
    </w:p>
    <w:p w:rsidR="00AE6155" w:rsidRDefault="001B6199">
      <w:pPr>
        <w:spacing w:after="38"/>
        <w:ind w:left="24" w:right="653"/>
      </w:pPr>
      <w:r>
        <w:t>Позднее в КоАП внесли изменения.</w:t>
      </w:r>
      <w:r w:rsidR="009312D9">
        <w:t xml:space="preserve"> Штраф по результатам одного контрольного мероприятия независимо от количества нарушений и проверяемых периодов назначается однократно (одним постановлением)</w:t>
      </w:r>
      <w:r w:rsidR="009312D9">
        <w:t xml:space="preserve">. Закон, улучшающий положение нарушителя, имеет обратную силу. Но добиться прекращения дел по неисполненным </w:t>
      </w:r>
      <w:r>
        <w:t>постановлениям</w:t>
      </w:r>
      <w:r w:rsidR="009312D9">
        <w:t xml:space="preserve"> заявители не смогли. По мнению судов, новая норма не улучшает их положение, так как итоговый размер штрафа, исчисляемого пропорциона</w:t>
      </w:r>
      <w:r w:rsidR="009312D9">
        <w:t>льно сумме каждой незаконной валютной операции, не снижается.</w:t>
      </w:r>
    </w:p>
    <w:p w:rsidR="00AE6155" w:rsidRDefault="001B6199" w:rsidP="009312D9">
      <w:pPr>
        <w:spacing w:after="37"/>
        <w:ind w:left="38" w:right="634" w:firstLine="529"/>
      </w:pPr>
      <w:r>
        <w:lastRenderedPageBreak/>
        <w:t>Конституционный</w:t>
      </w:r>
      <w:r w:rsidR="009312D9">
        <w:t xml:space="preserve"> Суд РФ указал, что обжалуемые нормы не противоречат Конституции, поскольку позволяют применить обратную силу </w:t>
      </w:r>
      <w:r w:rsidR="009312D9">
        <w:rPr>
          <w:noProof/>
        </w:rPr>
        <w:drawing>
          <wp:inline distT="0" distB="0" distL="0" distR="0">
            <wp:extent cx="6098" cy="3049"/>
            <wp:effectExtent l="0" t="0" r="0" b="0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</w:t>
      </w:r>
      <w:r w:rsidR="009312D9">
        <w:t xml:space="preserve"> в случае, когда штраф определяется в кратном размере. Соответствующие</w:t>
      </w:r>
    </w:p>
    <w:p w:rsidR="008C1591" w:rsidRDefault="001B6199" w:rsidP="009312D9">
      <w:pPr>
        <w:spacing w:after="0" w:line="294" w:lineRule="auto"/>
        <w:ind w:left="58" w:right="387" w:hanging="10"/>
      </w:pPr>
      <w:r>
        <w:rPr>
          <w:noProof/>
        </w:rPr>
        <w:t xml:space="preserve"> постановления должны</w:t>
      </w:r>
      <w:r w:rsidR="009312D9">
        <w:t xml:space="preserve"> </w:t>
      </w:r>
      <w:proofErr w:type="gramStart"/>
      <w:r>
        <w:t>учитывать</w:t>
      </w:r>
      <w:proofErr w:type="gramEnd"/>
      <w:r>
        <w:t xml:space="preserve"> как одно </w:t>
      </w:r>
      <w:r w:rsidR="009312D9">
        <w:t xml:space="preserve">путем суммирования назначенных штрафов. Норма и в данном случае улучшает правовое </w:t>
      </w:r>
      <w:r>
        <w:t>положение</w:t>
      </w:r>
      <w:r w:rsidR="008C1591">
        <w:t xml:space="preserve"> нарушителя,</w:t>
      </w:r>
      <w:r>
        <w:t xml:space="preserve"> </w:t>
      </w:r>
      <w:r w:rsidR="009312D9">
        <w:t>поскольку количество назначенных административных н</w:t>
      </w:r>
      <w:r w:rsidR="009312D9">
        <w:t>аказаний</w:t>
      </w:r>
      <w:r w:rsidR="009312D9">
        <w:tab/>
        <w:t>может</w:t>
      </w:r>
      <w:r w:rsidR="008C1591">
        <w:t xml:space="preserve"> иметь </w:t>
      </w:r>
      <w:r w:rsidR="009312D9">
        <w:t>для</w:t>
      </w:r>
      <w:r w:rsidR="009312D9">
        <w:tab/>
        <w:t>него</w:t>
      </w:r>
      <w:r w:rsidR="009312D9">
        <w:tab/>
        <w:t>существенное</w:t>
      </w:r>
      <w:r w:rsidR="008C1591">
        <w:t xml:space="preserve"> </w:t>
      </w:r>
      <w:r w:rsidR="009312D9">
        <w:t xml:space="preserve">значение. </w:t>
      </w:r>
    </w:p>
    <w:p w:rsidR="00AE6155" w:rsidRDefault="008C1591" w:rsidP="009312D9">
      <w:pPr>
        <w:spacing w:after="0" w:line="294" w:lineRule="auto"/>
        <w:ind w:left="58" w:right="387" w:hanging="10"/>
      </w:pPr>
      <w:r>
        <w:t xml:space="preserve">         </w:t>
      </w:r>
      <w:r w:rsidR="009312D9">
        <w:t xml:space="preserve">В рассматриваемом деле суды ограничили возможность придания обратной силы закону, улучшающему </w:t>
      </w:r>
      <w:r>
        <w:t>положение</w:t>
      </w:r>
      <w:r w:rsidR="009312D9">
        <w:t xml:space="preserve"> привлеченного к ответственности лица. Это нарушает конституционные принципы справедливости, юри</w:t>
      </w:r>
      <w:r w:rsidR="009312D9">
        <w:t>ди</w:t>
      </w:r>
      <w:r w:rsidR="009312D9">
        <w:t>ческого равенства.</w:t>
      </w:r>
    </w:p>
    <w:p w:rsidR="00AE6155" w:rsidRDefault="009312D9" w:rsidP="009312D9">
      <w:pPr>
        <w:ind w:left="120" w:right="513" w:firstLine="0"/>
      </w:pPr>
      <w:r>
        <w:t xml:space="preserve">     </w:t>
      </w:r>
      <w:r>
        <w:t>С учетом сроков давности привлечения к ответственности заявители не могут требовать отмены постановлений и принятия нового, объединяющего все правонарушения. Но в</w:t>
      </w:r>
      <w:bookmarkStart w:id="0" w:name="_GoBack"/>
      <w:bookmarkEnd w:id="0"/>
      <w:r>
        <w:t xml:space="preserve"> правоотношениях, где число таких постановлений имеет значение, правоп</w:t>
      </w:r>
      <w:r>
        <w:t>рименительные органы должны их учитывать в качестве одного постановления.</w:t>
      </w:r>
    </w:p>
    <w:sectPr w:rsidR="00AE6155">
      <w:pgSz w:w="11740" w:h="16760"/>
      <w:pgMar w:top="605" w:right="456" w:bottom="1278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537" o:spid="_x0000_i1031" type="#_x0000_t75" style="width:4.05pt;height:46.65pt;visibility:visible;mso-wrap-style:square" o:bullet="t">
        <v:imagedata r:id="rId1" o:title=""/>
      </v:shape>
    </w:pict>
  </w:numPicBullet>
  <w:abstractNum w:abstractNumId="0" w15:restartNumberingAfterBreak="0">
    <w:nsid w:val="4EBA76DF"/>
    <w:multiLevelType w:val="hybridMultilevel"/>
    <w:tmpl w:val="146E2BC6"/>
    <w:lvl w:ilvl="0" w:tplc="CC765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24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E1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C1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A1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01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02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65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C3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55"/>
    <w:rsid w:val="001B6199"/>
    <w:rsid w:val="008C1591"/>
    <w:rsid w:val="009312D9"/>
    <w:rsid w:val="00A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99F9"/>
  <w15:docId w15:val="{59C064E9-9E3E-4A61-BAD0-C1A68A44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893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cp:lastModifiedBy>Иванова Татьяна Викторовна</cp:lastModifiedBy>
  <cp:revision>2</cp:revision>
  <dcterms:created xsi:type="dcterms:W3CDTF">2024-04-22T07:48:00Z</dcterms:created>
  <dcterms:modified xsi:type="dcterms:W3CDTF">2024-04-22T07:48:00Z</dcterms:modified>
</cp:coreProperties>
</file>